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8317F7" w:rsidRDefault="00A535FB" w:rsidP="003B5A41">
      <w:pPr>
        <w:pStyle w:val="Title"/>
      </w:pPr>
      <w:r>
        <w:t>EC-GSM, RLC procedures</w:t>
      </w:r>
    </w:p>
    <w:p w:rsidR="003B5A41" w:rsidRDefault="008317F7" w:rsidP="003B5A41">
      <w:pPr>
        <w:pStyle w:val="Heading1"/>
        <w:rPr>
          <w:lang w:val="sv-SE"/>
        </w:rPr>
      </w:pPr>
      <w:r>
        <w:rPr>
          <w:lang w:val="sv-SE"/>
        </w:rPr>
        <w:t>Introduction</w:t>
      </w:r>
    </w:p>
    <w:p w:rsidR="008317F7" w:rsidRDefault="008317F7" w:rsidP="008317F7">
      <w:pPr>
        <w:pStyle w:val="BodyText"/>
      </w:pPr>
      <w:r>
        <w:t xml:space="preserve">At GERAN#62 a new feasibility study named </w:t>
      </w:r>
      <w:r w:rsidRPr="00061930">
        <w:rPr>
          <w:i/>
        </w:rPr>
        <w:t>Cellular System Support for Ultra Low Complexity and Low Throughput Internet of Things</w:t>
      </w:r>
      <w:r>
        <w:t xml:space="preserve"> </w:t>
      </w:r>
      <w:r w:rsidR="00717D43">
        <w:t xml:space="preserve"> </w:t>
      </w:r>
      <w:r w:rsidR="00717D43">
        <w:fldChar w:fldCharType="begin"/>
      </w:r>
      <w:r w:rsidR="00717D43">
        <w:instrText xml:space="preserve"> REF _Ref397674406 \r \h </w:instrText>
      </w:r>
      <w:r w:rsidR="00717D43">
        <w:fldChar w:fldCharType="separate"/>
      </w:r>
      <w:r w:rsidR="00A85EEA">
        <w:t>[1]</w:t>
      </w:r>
      <w:r w:rsidR="00717D43">
        <w:fldChar w:fldCharType="end"/>
      </w:r>
      <w:r w:rsidR="00717D43">
        <w:t xml:space="preserve"> </w:t>
      </w:r>
      <w:r>
        <w:t xml:space="preserve">(WI code: </w:t>
      </w:r>
      <w:proofErr w:type="spellStart"/>
      <w:r w:rsidRPr="003F6188">
        <w:t>FS_IoT_LC</w:t>
      </w:r>
      <w:proofErr w:type="spellEnd"/>
      <w:r w:rsidRPr="003F6188">
        <w:t>)</w:t>
      </w:r>
      <w:r w:rsidR="00717D43">
        <w:t xml:space="preserve">  was approved</w:t>
      </w:r>
      <w:r>
        <w:t>.</w:t>
      </w:r>
    </w:p>
    <w:p w:rsidR="006D299E" w:rsidRPr="0076227A" w:rsidRDefault="006D299E" w:rsidP="00AF2933">
      <w:pPr>
        <w:pStyle w:val="BodyText"/>
      </w:pPr>
      <w:r w:rsidRPr="0076227A">
        <w:t xml:space="preserve">One of the main objectives is to </w:t>
      </w:r>
      <w:r w:rsidR="00903EFA">
        <w:t>reduce device complexity compared to</w:t>
      </w:r>
      <w:r w:rsidRPr="0076227A">
        <w:t xml:space="preserve"> existing GPRS services. </w:t>
      </w:r>
    </w:p>
    <w:p w:rsidR="00116F55" w:rsidRDefault="00A82BB0" w:rsidP="007C3A1E">
      <w:pPr>
        <w:pStyle w:val="BodyText"/>
      </w:pPr>
      <w:r>
        <w:t>In this contribution,</w:t>
      </w:r>
      <w:r w:rsidR="00A535FB">
        <w:t xml:space="preserve"> the </w:t>
      </w:r>
      <w:r w:rsidR="00BD54FE">
        <w:t xml:space="preserve">general </w:t>
      </w:r>
      <w:r w:rsidR="00A535FB">
        <w:t>RLC procedures</w:t>
      </w:r>
      <w:r w:rsidR="00BD54FE">
        <w:t xml:space="preserve"> applicable to GSM are reviewed in an effort to reduce scope/complexity for EC-GSM devices. </w:t>
      </w:r>
    </w:p>
    <w:p w:rsidR="006D299E" w:rsidRDefault="00ED79FC" w:rsidP="0016449D">
      <w:pPr>
        <w:pStyle w:val="Heading1"/>
      </w:pPr>
      <w:r>
        <w:t>RLC procedures</w:t>
      </w:r>
    </w:p>
    <w:p w:rsidR="00BD54FE" w:rsidRDefault="00BD54FE" w:rsidP="00BD54FE">
      <w:pPr>
        <w:pStyle w:val="Heading2"/>
      </w:pPr>
      <w:r>
        <w:t>General</w:t>
      </w:r>
    </w:p>
    <w:p w:rsidR="00ED79FC" w:rsidRDefault="00ED79FC" w:rsidP="00BD54FE">
      <w:r>
        <w:t xml:space="preserve">In </w:t>
      </w:r>
      <w:r w:rsidR="00BD54FE">
        <w:t>g</w:t>
      </w:r>
      <w:r>
        <w:t xml:space="preserve">eneral RLC procedures defined in GSM, see clause 9 of </w:t>
      </w:r>
      <w:r>
        <w:fldChar w:fldCharType="begin"/>
      </w:r>
      <w:r>
        <w:instrText xml:space="preserve"> REF _Ref410129536 \r \h </w:instrText>
      </w:r>
      <w:r>
        <w:fldChar w:fldCharType="separate"/>
      </w:r>
      <w:r>
        <w:t>[2]</w:t>
      </w:r>
      <w:r>
        <w:fldChar w:fldCharType="end"/>
      </w:r>
      <w:r>
        <w:t xml:space="preserve">, applies to </w:t>
      </w:r>
      <w:r w:rsidR="00BD54FE">
        <w:t>for EC-GSM devices</w:t>
      </w:r>
      <w:r>
        <w:t xml:space="preserve">. </w:t>
      </w:r>
    </w:p>
    <w:p w:rsidR="00903EFA" w:rsidRDefault="00903EFA" w:rsidP="00BD54FE">
      <w:proofErr w:type="gramStart"/>
      <w:r>
        <w:t>Deviations from clause 9 is</w:t>
      </w:r>
      <w:proofErr w:type="gramEnd"/>
      <w:r>
        <w:t xml:space="preserve"> listed below.</w:t>
      </w:r>
    </w:p>
    <w:p w:rsidR="00A0451F" w:rsidRDefault="00361ADD" w:rsidP="00A0451F">
      <w:pPr>
        <w:pStyle w:val="Heading2"/>
      </w:pPr>
      <w:r>
        <w:t>RLC mode</w:t>
      </w:r>
    </w:p>
    <w:p w:rsidR="00F50D16" w:rsidRDefault="00361ADD" w:rsidP="00361ADD">
      <w:pPr>
        <w:pStyle w:val="BodyText"/>
      </w:pPr>
      <w:r w:rsidRPr="00B4306A">
        <w:t>The RLC ARQ functions support three modes of operation: RLC acknowledged mode, RLC unacknowledged mode and RLC non</w:t>
      </w:r>
      <w:r w:rsidR="00F50D16">
        <w:t>-persistent mode where:</w:t>
      </w:r>
    </w:p>
    <w:p w:rsidR="00F50D16" w:rsidRDefault="00361ADD" w:rsidP="00F50D16">
      <w:pPr>
        <w:pStyle w:val="BodyText"/>
        <w:numPr>
          <w:ilvl w:val="0"/>
          <w:numId w:val="23"/>
        </w:numPr>
      </w:pPr>
      <w:r w:rsidRPr="00B4306A">
        <w:t xml:space="preserve">RLC acknowledged mode operation uses retransmission of RLC data blocks to achieve high reliability. </w:t>
      </w:r>
    </w:p>
    <w:p w:rsidR="00F50D16" w:rsidRDefault="00361ADD" w:rsidP="00F50D16">
      <w:pPr>
        <w:pStyle w:val="BodyText"/>
        <w:numPr>
          <w:ilvl w:val="0"/>
          <w:numId w:val="23"/>
        </w:numPr>
      </w:pPr>
      <w:r w:rsidRPr="00B4306A">
        <w:t xml:space="preserve">RLC unacknowledged mode operation does not utilize retransmission of RLC data blocks. </w:t>
      </w:r>
    </w:p>
    <w:p w:rsidR="00361ADD" w:rsidRDefault="00361ADD" w:rsidP="00F50D16">
      <w:pPr>
        <w:pStyle w:val="BodyText"/>
        <w:numPr>
          <w:ilvl w:val="0"/>
          <w:numId w:val="23"/>
        </w:numPr>
      </w:pPr>
      <w:r w:rsidRPr="00B4306A">
        <w:t>RLC non-persistent mode operation uses non-exhaustive retransmission of RLC data blocks</w:t>
      </w:r>
      <w:r>
        <w:t>.</w:t>
      </w:r>
    </w:p>
    <w:p w:rsidR="00361ADD" w:rsidRDefault="00F50D16" w:rsidP="00361ADD">
      <w:pPr>
        <w:pStyle w:val="BodyText"/>
      </w:pPr>
      <w:r>
        <w:t xml:space="preserve">With the main aim of the study to extend coverage for devices in poor coverage both the RLC unacknowledged mode and RLC non-persistent mode </w:t>
      </w:r>
      <w:r w:rsidR="00BD54FE">
        <w:t>are un</w:t>
      </w:r>
      <w:r>
        <w:t>suitable since these modes are more suitable</w:t>
      </w:r>
      <w:r w:rsidR="00F76D14">
        <w:t xml:space="preserve"> when a certain packet loss is acceptable.</w:t>
      </w:r>
      <w:r>
        <w:t xml:space="preserve"> </w:t>
      </w:r>
      <w:r w:rsidR="00903EFA">
        <w:t>Hence</w:t>
      </w:r>
      <w:r w:rsidR="00BD54FE">
        <w:t>, f</w:t>
      </w:r>
      <w:r w:rsidR="00361ADD">
        <w:t xml:space="preserve">or the use cases envisioned for </w:t>
      </w:r>
      <w:r w:rsidR="00BD54FE">
        <w:t xml:space="preserve">EC-GSM devices </w:t>
      </w:r>
      <w:r w:rsidR="00361ADD">
        <w:t xml:space="preserve">only RLC acknowledged mode is </w:t>
      </w:r>
      <w:r w:rsidR="00903EFA">
        <w:t>seen needed</w:t>
      </w:r>
      <w:r w:rsidR="00361ADD">
        <w:t xml:space="preserve">.  </w:t>
      </w:r>
    </w:p>
    <w:p w:rsidR="00361ADD" w:rsidRPr="00361ADD" w:rsidRDefault="00361ADD" w:rsidP="00361ADD">
      <w:pPr>
        <w:pStyle w:val="BodyText"/>
        <w:rPr>
          <w:b/>
        </w:rPr>
      </w:pPr>
      <w:r w:rsidRPr="00361ADD">
        <w:rPr>
          <w:b/>
        </w:rPr>
        <w:t xml:space="preserve">Only RLC Acknowledged mode is supported. </w:t>
      </w:r>
    </w:p>
    <w:p w:rsidR="00361ADD" w:rsidRPr="00361ADD" w:rsidRDefault="00361ADD" w:rsidP="00361ADD">
      <w:pPr>
        <w:pStyle w:val="BodyText"/>
      </w:pPr>
    </w:p>
    <w:p w:rsidR="00361ADD" w:rsidRDefault="00E56C2F" w:rsidP="00361ADD">
      <w:pPr>
        <w:pStyle w:val="Heading2"/>
      </w:pPr>
      <w:r>
        <w:t xml:space="preserve">Multiple </w:t>
      </w:r>
      <w:r w:rsidR="00361ADD">
        <w:t>TBF operation</w:t>
      </w:r>
    </w:p>
    <w:p w:rsidR="00361ADD" w:rsidRDefault="00CC2556" w:rsidP="00361ADD">
      <w:pPr>
        <w:pStyle w:val="BodyText"/>
      </w:pPr>
      <w:r>
        <w:t xml:space="preserve">A mobile station that supports multiple TBF procedures may operate multiple </w:t>
      </w:r>
      <w:proofErr w:type="gramStart"/>
      <w:r>
        <w:t>uplink</w:t>
      </w:r>
      <w:proofErr w:type="gramEnd"/>
      <w:r>
        <w:t xml:space="preserve"> and downlink TBFs concurrently. Since this implies additional complexity over only supporting </w:t>
      </w:r>
      <w:r>
        <w:lastRenderedPageBreak/>
        <w:t xml:space="preserve">single TBF operation it is therefore proposed that a Cellular IoT device only supports single TBF operation. </w:t>
      </w:r>
    </w:p>
    <w:p w:rsidR="00CC2556" w:rsidRDefault="00CC2556" w:rsidP="00361ADD">
      <w:pPr>
        <w:pStyle w:val="BodyText"/>
        <w:rPr>
          <w:b/>
        </w:rPr>
      </w:pPr>
      <w:r w:rsidRPr="00361ADD">
        <w:rPr>
          <w:b/>
        </w:rPr>
        <w:t xml:space="preserve">Only </w:t>
      </w:r>
      <w:r>
        <w:rPr>
          <w:b/>
        </w:rPr>
        <w:t xml:space="preserve">single TBF operation is supported. </w:t>
      </w:r>
    </w:p>
    <w:p w:rsidR="00CC2556" w:rsidRDefault="00CC2556" w:rsidP="00361ADD">
      <w:pPr>
        <w:pStyle w:val="BodyText"/>
        <w:rPr>
          <w:b/>
        </w:rPr>
      </w:pPr>
    </w:p>
    <w:p w:rsidR="00CF7DF9" w:rsidRDefault="00CF7DF9" w:rsidP="00CF7DF9">
      <w:pPr>
        <w:pStyle w:val="Heading2"/>
      </w:pPr>
      <w:r w:rsidRPr="00B4306A">
        <w:t>Enhanced Multiplexing for Single TBF (EMST)</w:t>
      </w:r>
    </w:p>
    <w:p w:rsidR="00CF7DF9" w:rsidRDefault="00CF7DF9" w:rsidP="00CF7DF9">
      <w:r w:rsidRPr="00CF7DF9">
        <w:rPr>
          <w:bCs/>
        </w:rPr>
        <w:t>Enhanced Multiplexing for Single TBF (EMST)</w:t>
      </w:r>
      <w:r>
        <w:t xml:space="preserve"> r</w:t>
      </w:r>
      <w:r w:rsidRPr="00B4306A">
        <w:t xml:space="preserve">efers to the multiplexing of upper layer data flows using one or more RLC entities on a single TBF where each RLC entity operates in a different RLC mode. EMST is applicable only to TBFs in EGPRS TBF mode. EMST is not applicable to Multiple TBF operation. </w:t>
      </w:r>
    </w:p>
    <w:p w:rsidR="00CF7DF9" w:rsidRDefault="00CF7DF9" w:rsidP="00CF7DF9">
      <w:r>
        <w:t>It is expected that in order to reduce complexity a Cellular IoT device will only support a single upper layer data flow per RLC entity. It is therefore proposed that EMST is not supported.</w:t>
      </w:r>
    </w:p>
    <w:p w:rsidR="00CF7DF9" w:rsidRPr="00CF7DF9" w:rsidRDefault="00BD267B" w:rsidP="00CF7DF9">
      <w:pPr>
        <w:rPr>
          <w:b/>
          <w:bCs/>
        </w:rPr>
      </w:pPr>
      <w:r>
        <w:rPr>
          <w:b/>
          <w:bCs/>
        </w:rPr>
        <w:t>En</w:t>
      </w:r>
      <w:r w:rsidRPr="00B4306A">
        <w:rPr>
          <w:b/>
          <w:bCs/>
        </w:rPr>
        <w:t>hanced Multiplexing for Single TBF (EMST)</w:t>
      </w:r>
      <w:r w:rsidR="00CF7DF9">
        <w:rPr>
          <w:b/>
        </w:rPr>
        <w:t xml:space="preserve"> is not supported. </w:t>
      </w:r>
    </w:p>
    <w:p w:rsidR="00CF7DF9" w:rsidRDefault="00CF7DF9" w:rsidP="00CF7DF9">
      <w:pPr>
        <w:pStyle w:val="Heading2"/>
      </w:pPr>
      <w:r w:rsidRPr="00B4306A">
        <w:t>Enhanced Multiplexing for Single RLC Entity (EMSR):</w:t>
      </w:r>
    </w:p>
    <w:p w:rsidR="00CC2556" w:rsidRDefault="00CF7DF9" w:rsidP="00CC2556">
      <w:r w:rsidRPr="00CF7DF9">
        <w:t>Enhanced Multiplexi</w:t>
      </w:r>
      <w:r>
        <w:t>ng for Single RLC Entity (EMSR r</w:t>
      </w:r>
      <w:r w:rsidR="00CC2556" w:rsidRPr="00B4306A">
        <w:t xml:space="preserve">efers to the multiplexing of upper layer data flows associated with multiple PFCs with at least two of them having unique TFIs within the context of a single RLC entity for single TBF operation. EMSR may only be used on a TBF operating in EGPRS TBF mode. EMSR is not applicable to Multiple TBF operation or when Exclusive Allocation is used. </w:t>
      </w:r>
    </w:p>
    <w:p w:rsidR="00CF7DF9" w:rsidRDefault="00CF7DF9" w:rsidP="00CF7DF9">
      <w:r>
        <w:t>It is expected that in order to reduce complexity a Cellular IoT device will only supp</w:t>
      </w:r>
      <w:r w:rsidR="00BD54FE">
        <w:t>ort a</w:t>
      </w:r>
      <w:r>
        <w:t xml:space="preserve"> single data flow per RLC entity. It is therefore proposed that EMSR is not supported.</w:t>
      </w:r>
    </w:p>
    <w:p w:rsidR="00CC2556" w:rsidRDefault="00BD267B" w:rsidP="00CF7DF9">
      <w:pPr>
        <w:rPr>
          <w:b/>
        </w:rPr>
      </w:pPr>
      <w:r w:rsidRPr="00B4306A">
        <w:rPr>
          <w:b/>
          <w:bCs/>
        </w:rPr>
        <w:t xml:space="preserve">Enhanced Multiplexing for Single RLC Entity </w:t>
      </w:r>
      <w:r>
        <w:rPr>
          <w:b/>
          <w:bCs/>
        </w:rPr>
        <w:t>(</w:t>
      </w:r>
      <w:r w:rsidR="00CF7DF9">
        <w:rPr>
          <w:b/>
        </w:rPr>
        <w:t>EMSR</w:t>
      </w:r>
      <w:r>
        <w:rPr>
          <w:b/>
        </w:rPr>
        <w:t>)</w:t>
      </w:r>
      <w:r w:rsidR="00CF7DF9">
        <w:rPr>
          <w:b/>
        </w:rPr>
        <w:t xml:space="preserve"> is not supported. </w:t>
      </w:r>
    </w:p>
    <w:p w:rsidR="00CF7DF9" w:rsidRPr="00CF7DF9" w:rsidRDefault="00CF7DF9" w:rsidP="00CF7DF9">
      <w:pPr>
        <w:pStyle w:val="Heading2"/>
      </w:pPr>
      <w:r w:rsidRPr="00B4306A">
        <w:t>Extended uplink TBF mode</w:t>
      </w:r>
    </w:p>
    <w:p w:rsidR="00CC2556" w:rsidRDefault="00CF7DF9" w:rsidP="00361ADD">
      <w:pPr>
        <w:pStyle w:val="BodyText"/>
      </w:pPr>
      <w:r w:rsidRPr="00B4306A">
        <w:t xml:space="preserve">In the </w:t>
      </w:r>
      <w:r w:rsidRPr="00B4306A">
        <w:rPr>
          <w:i/>
        </w:rPr>
        <w:t>extended uplink TBF mode</w:t>
      </w:r>
      <w:r w:rsidRPr="00B4306A">
        <w:t>, the uplink TBF may be maintained during temporary inactive periods, where the mobile station has no RLC information to send. The network determines the release of the uplink TBF</w:t>
      </w:r>
      <w:r>
        <w:t xml:space="preserve">. </w:t>
      </w:r>
    </w:p>
    <w:p w:rsidR="00CF7DF9" w:rsidRDefault="00AF0275" w:rsidP="00361ADD">
      <w:pPr>
        <w:pStyle w:val="BodyText"/>
      </w:pPr>
      <w:r>
        <w:t xml:space="preserve">Since scheduling on the uplink will be based on Fixed Uplink Allocation </w:t>
      </w:r>
      <w:r w:rsidR="00CC24C5">
        <w:t xml:space="preserve">extended uplink TBF mode will not be supported. </w:t>
      </w:r>
    </w:p>
    <w:p w:rsidR="00AF0275" w:rsidRDefault="00CC24C5" w:rsidP="00361ADD">
      <w:pPr>
        <w:pStyle w:val="BodyText"/>
      </w:pPr>
      <w:r>
        <w:rPr>
          <w:b/>
        </w:rPr>
        <w:t>Extended uplink TBF mode</w:t>
      </w:r>
      <w:r w:rsidR="00AF0275">
        <w:rPr>
          <w:b/>
        </w:rPr>
        <w:t xml:space="preserve"> is not supported</w:t>
      </w:r>
    </w:p>
    <w:p w:rsidR="00CC24C5" w:rsidRDefault="00CC24C5" w:rsidP="00CC24C5">
      <w:pPr>
        <w:pStyle w:val="Heading2"/>
      </w:pPr>
      <w:r>
        <w:t xml:space="preserve">Fast </w:t>
      </w:r>
      <w:proofErr w:type="spellStart"/>
      <w:r>
        <w:t>Ack</w:t>
      </w:r>
      <w:proofErr w:type="spellEnd"/>
      <w:r>
        <w:t>/</w:t>
      </w:r>
      <w:proofErr w:type="spellStart"/>
      <w:r>
        <w:t>Nack</w:t>
      </w:r>
      <w:proofErr w:type="spellEnd"/>
      <w:r>
        <w:t xml:space="preserve"> Reporting procedure</w:t>
      </w:r>
    </w:p>
    <w:p w:rsidR="00CC24C5" w:rsidRPr="00AB36B8" w:rsidRDefault="00CC24C5" w:rsidP="00CC24C5">
      <w:pPr>
        <w:rPr>
          <w:color w:val="000000"/>
        </w:rPr>
      </w:pPr>
      <w:r w:rsidRPr="00AB36B8">
        <w:rPr>
          <w:color w:val="000000"/>
        </w:rPr>
        <w:t xml:space="preserve">The </w:t>
      </w:r>
      <w:r>
        <w:rPr>
          <w:color w:val="000000"/>
        </w:rPr>
        <w:t>F</w:t>
      </w:r>
      <w:r w:rsidRPr="00AB36B8">
        <w:rPr>
          <w:color w:val="000000"/>
        </w:rPr>
        <w:t xml:space="preserve">ast </w:t>
      </w:r>
      <w:proofErr w:type="spellStart"/>
      <w:r>
        <w:rPr>
          <w:color w:val="000000"/>
        </w:rPr>
        <w:t>A</w:t>
      </w:r>
      <w:r w:rsidRPr="00AB36B8">
        <w:rPr>
          <w:color w:val="000000"/>
        </w:rPr>
        <w:t>ck</w:t>
      </w:r>
      <w:proofErr w:type="spellEnd"/>
      <w:r w:rsidRPr="00AB36B8">
        <w:rPr>
          <w:color w:val="000000"/>
        </w:rPr>
        <w:t>/</w:t>
      </w:r>
      <w:proofErr w:type="spellStart"/>
      <w:r>
        <w:rPr>
          <w:color w:val="000000"/>
        </w:rPr>
        <w:t>N</w:t>
      </w:r>
      <w:r w:rsidRPr="00AB36B8">
        <w:rPr>
          <w:color w:val="000000"/>
        </w:rPr>
        <w:t>ack</w:t>
      </w:r>
      <w:proofErr w:type="spellEnd"/>
      <w:r w:rsidRPr="00AB36B8">
        <w:rPr>
          <w:color w:val="000000"/>
        </w:rPr>
        <w:t xml:space="preserve"> reporting procedure (FANR) refers to the possibility to include</w:t>
      </w:r>
      <w:r w:rsidRPr="00AB36B8">
        <w:t xml:space="preserve">, in a radio block for data transfer sent in one direction, piggy-backed </w:t>
      </w:r>
      <w:proofErr w:type="spellStart"/>
      <w:r w:rsidRPr="00AB36B8">
        <w:t>ack</w:t>
      </w:r>
      <w:proofErr w:type="spellEnd"/>
      <w:r w:rsidRPr="00AB36B8">
        <w:t>/</w:t>
      </w:r>
      <w:proofErr w:type="spellStart"/>
      <w:r w:rsidRPr="00AB36B8">
        <w:t>nack</w:t>
      </w:r>
      <w:proofErr w:type="spellEnd"/>
      <w:r w:rsidRPr="00AB36B8">
        <w:t xml:space="preserve"> information relative to a TBF </w:t>
      </w:r>
      <w:r>
        <w:rPr>
          <w:lang w:eastAsia="ko-KR"/>
        </w:rPr>
        <w:t>with</w:t>
      </w:r>
      <w:r>
        <w:rPr>
          <w:rFonts w:hint="eastAsia"/>
          <w:lang w:eastAsia="ko-KR"/>
        </w:rPr>
        <w:t xml:space="preserve"> FANR</w:t>
      </w:r>
      <w:r>
        <w:rPr>
          <w:lang w:eastAsia="ko-KR"/>
        </w:rPr>
        <w:t xml:space="preserve"> activated</w:t>
      </w:r>
      <w:r>
        <w:rPr>
          <w:rFonts w:hint="eastAsia"/>
          <w:lang w:eastAsia="ko-KR"/>
        </w:rPr>
        <w:t xml:space="preserve"> </w:t>
      </w:r>
      <w:r w:rsidRPr="00AB36B8">
        <w:t xml:space="preserve">in the other </w:t>
      </w:r>
      <w:proofErr w:type="gramStart"/>
      <w:r w:rsidRPr="00AB36B8">
        <w:t>direction</w:t>
      </w:r>
      <w:proofErr w:type="gramEnd"/>
      <w:r>
        <w:fldChar w:fldCharType="begin"/>
      </w:r>
      <w:r>
        <w:instrText xml:space="preserve"> REF _Ref410161030 \r \h </w:instrText>
      </w:r>
      <w:r>
        <w:fldChar w:fldCharType="separate"/>
      </w:r>
      <w:r>
        <w:t>[3]</w:t>
      </w:r>
      <w:r>
        <w:fldChar w:fldCharType="end"/>
      </w:r>
      <w:r w:rsidRPr="00AB36B8">
        <w:rPr>
          <w:color w:val="000000"/>
        </w:rPr>
        <w:t xml:space="preserve">. </w:t>
      </w:r>
    </w:p>
    <w:p w:rsidR="00CC24C5" w:rsidRDefault="00CC24C5" w:rsidP="00CC24C5">
      <w:pPr>
        <w:pStyle w:val="BodyText"/>
        <w:rPr>
          <w:color w:val="000000"/>
        </w:rPr>
      </w:pPr>
      <w:r>
        <w:lastRenderedPageBreak/>
        <w:t xml:space="preserve">This feature was introduced to reduce latency for applications like </w:t>
      </w:r>
      <w:r w:rsidR="00BF3BE8">
        <w:t>VoIP</w:t>
      </w:r>
      <w:r>
        <w:t>.  Given the genera</w:t>
      </w:r>
      <w:r w:rsidR="00BD54FE">
        <w:t>l</w:t>
      </w:r>
      <w:r>
        <w:t xml:space="preserve"> use cases for Cellular IoT devices and that this feature adds complexity it is proposed not to support </w:t>
      </w:r>
      <w:r w:rsidR="00E40765">
        <w:rPr>
          <w:color w:val="000000"/>
        </w:rPr>
        <w:t>F</w:t>
      </w:r>
      <w:r w:rsidR="00E40765" w:rsidRPr="00AB36B8">
        <w:rPr>
          <w:color w:val="000000"/>
        </w:rPr>
        <w:t xml:space="preserve">ast </w:t>
      </w:r>
      <w:proofErr w:type="spellStart"/>
      <w:r w:rsidR="00E40765">
        <w:rPr>
          <w:color w:val="000000"/>
        </w:rPr>
        <w:t>A</w:t>
      </w:r>
      <w:r w:rsidR="00E40765" w:rsidRPr="00AB36B8">
        <w:rPr>
          <w:color w:val="000000"/>
        </w:rPr>
        <w:t>ck</w:t>
      </w:r>
      <w:proofErr w:type="spellEnd"/>
      <w:r w:rsidR="00E40765" w:rsidRPr="00AB36B8">
        <w:rPr>
          <w:color w:val="000000"/>
        </w:rPr>
        <w:t>/</w:t>
      </w:r>
      <w:proofErr w:type="spellStart"/>
      <w:r w:rsidR="00E40765">
        <w:rPr>
          <w:color w:val="000000"/>
        </w:rPr>
        <w:t>N</w:t>
      </w:r>
      <w:r w:rsidR="00E40765" w:rsidRPr="00AB36B8">
        <w:rPr>
          <w:color w:val="000000"/>
        </w:rPr>
        <w:t>ack</w:t>
      </w:r>
      <w:proofErr w:type="spellEnd"/>
      <w:r w:rsidR="00E40765" w:rsidRPr="00AB36B8">
        <w:rPr>
          <w:color w:val="000000"/>
        </w:rPr>
        <w:t xml:space="preserve"> reporting</w:t>
      </w:r>
      <w:r w:rsidR="00E40765">
        <w:rPr>
          <w:color w:val="000000"/>
        </w:rPr>
        <w:t>.</w:t>
      </w:r>
    </w:p>
    <w:p w:rsidR="00E40765" w:rsidRPr="00E40765" w:rsidRDefault="00E40765" w:rsidP="00CC24C5">
      <w:pPr>
        <w:pStyle w:val="BodyText"/>
        <w:rPr>
          <w:b/>
          <w:color w:val="000000"/>
        </w:rPr>
      </w:pPr>
      <w:r w:rsidRPr="00E40765">
        <w:rPr>
          <w:b/>
          <w:color w:val="000000"/>
        </w:rPr>
        <w:t xml:space="preserve">Fast </w:t>
      </w:r>
      <w:proofErr w:type="spellStart"/>
      <w:r w:rsidRPr="00E40765">
        <w:rPr>
          <w:b/>
          <w:color w:val="000000"/>
        </w:rPr>
        <w:t>Ack</w:t>
      </w:r>
      <w:proofErr w:type="spellEnd"/>
      <w:r w:rsidRPr="00E40765">
        <w:rPr>
          <w:b/>
          <w:color w:val="000000"/>
        </w:rPr>
        <w:t>/</w:t>
      </w:r>
      <w:proofErr w:type="spellStart"/>
      <w:r w:rsidRPr="00E40765">
        <w:rPr>
          <w:b/>
          <w:color w:val="000000"/>
        </w:rPr>
        <w:t>Nack</w:t>
      </w:r>
      <w:proofErr w:type="spellEnd"/>
      <w:r w:rsidRPr="00E40765">
        <w:rPr>
          <w:b/>
          <w:color w:val="000000"/>
        </w:rPr>
        <w:t xml:space="preserve"> reporting procedure not supported.</w:t>
      </w:r>
    </w:p>
    <w:p w:rsidR="00E40765" w:rsidRDefault="00E40765" w:rsidP="00E40765">
      <w:pPr>
        <w:pStyle w:val="Heading2"/>
        <w:rPr>
          <w:lang w:val="en-GB"/>
        </w:rPr>
      </w:pPr>
      <w:r>
        <w:t>A maximum Sequence Number Space</w:t>
      </w:r>
      <w:r w:rsidR="003967A4">
        <w:t xml:space="preserve"> (Window size)</w:t>
      </w:r>
    </w:p>
    <w:p w:rsidR="00CD7C51" w:rsidRDefault="00E40765" w:rsidP="00CC24C5">
      <w:pPr>
        <w:pStyle w:val="BodyText"/>
        <w:rPr>
          <w:lang w:val="en-GB"/>
        </w:rPr>
      </w:pPr>
      <w:r>
        <w:rPr>
          <w:lang w:val="en-GB"/>
        </w:rPr>
        <w:t xml:space="preserve">The </w:t>
      </w:r>
      <w:r w:rsidR="003967A4">
        <w:rPr>
          <w:lang w:val="en-GB"/>
        </w:rPr>
        <w:t xml:space="preserve">size of the </w:t>
      </w:r>
      <w:r>
        <w:rPr>
          <w:lang w:val="en-GB"/>
        </w:rPr>
        <w:t>send</w:t>
      </w:r>
      <w:r w:rsidR="003967A4">
        <w:rPr>
          <w:lang w:val="en-GB"/>
        </w:rPr>
        <w:t xml:space="preserve">/receive buffers drives complexity so from this perspective it is of interest to reduce the size </w:t>
      </w:r>
      <w:r w:rsidR="00CD7C51">
        <w:rPr>
          <w:lang w:val="en-GB"/>
        </w:rPr>
        <w:t>of the sequence number space and hence window size</w:t>
      </w:r>
      <w:r w:rsidR="007705CD">
        <w:rPr>
          <w:lang w:val="en-GB"/>
        </w:rPr>
        <w:t xml:space="preserve"> to a minimum</w:t>
      </w:r>
      <w:r w:rsidR="003967A4">
        <w:rPr>
          <w:lang w:val="en-GB"/>
        </w:rPr>
        <w:t>. Currently in GPRS and EGPRS the supp</w:t>
      </w:r>
      <w:r w:rsidR="00CD7C51">
        <w:rPr>
          <w:lang w:val="en-GB"/>
        </w:rPr>
        <w:t>orted sequence number space is 128</w:t>
      </w:r>
      <w:r w:rsidR="003967A4">
        <w:rPr>
          <w:lang w:val="en-GB"/>
        </w:rPr>
        <w:t xml:space="preserve"> and 2048</w:t>
      </w:r>
      <w:r w:rsidR="00CD7C51">
        <w:rPr>
          <w:lang w:val="en-GB"/>
        </w:rPr>
        <w:t>, corresponding to window sizes of 64 and 1048, respectively. The window size in turn sets the limit for the size of the RLC buffers</w:t>
      </w:r>
      <w:r w:rsidR="00BF3BE8">
        <w:rPr>
          <w:lang w:val="en-GB"/>
        </w:rPr>
        <w:t>, see</w:t>
      </w:r>
      <w:r w:rsidR="007705CD">
        <w:rPr>
          <w:lang w:val="en-GB"/>
        </w:rPr>
        <w:t xml:space="preserve"> </w:t>
      </w:r>
      <w:r w:rsidR="007705CD">
        <w:rPr>
          <w:lang w:val="en-GB"/>
        </w:rPr>
        <w:fldChar w:fldCharType="begin"/>
      </w:r>
      <w:r w:rsidR="007705CD">
        <w:rPr>
          <w:lang w:val="en-GB"/>
        </w:rPr>
        <w:instrText xml:space="preserve"> REF _Ref410129536 \r \h </w:instrText>
      </w:r>
      <w:r w:rsidR="007705CD">
        <w:rPr>
          <w:lang w:val="en-GB"/>
        </w:rPr>
      </w:r>
      <w:r w:rsidR="007705CD">
        <w:rPr>
          <w:lang w:val="en-GB"/>
        </w:rPr>
        <w:fldChar w:fldCharType="separate"/>
      </w:r>
      <w:r w:rsidR="007705CD">
        <w:rPr>
          <w:lang w:val="en-GB"/>
        </w:rPr>
        <w:t>[2]</w:t>
      </w:r>
      <w:r w:rsidR="007705CD">
        <w:rPr>
          <w:lang w:val="en-GB"/>
        </w:rPr>
        <w:fldChar w:fldCharType="end"/>
      </w:r>
      <w:r w:rsidR="00CD7C51">
        <w:rPr>
          <w:lang w:val="en-GB"/>
        </w:rPr>
        <w:t xml:space="preserve">. </w:t>
      </w:r>
    </w:p>
    <w:p w:rsidR="00CD7C51" w:rsidRDefault="00CD7C51" w:rsidP="007705CD">
      <w:pPr>
        <w:pStyle w:val="BodyText"/>
        <w:numPr>
          <w:ilvl w:val="0"/>
          <w:numId w:val="24"/>
        </w:numPr>
      </w:pPr>
      <w:r w:rsidRPr="00B4306A">
        <w:t xml:space="preserve">A mobile station supporting </w:t>
      </w:r>
      <w:r>
        <w:t>GPRS shall buffer up to 64</w:t>
      </w:r>
      <w:r w:rsidR="004C67CC">
        <w:t xml:space="preserve"> RLC data blocks</w:t>
      </w:r>
      <w:r>
        <w:t xml:space="preserve">. </w:t>
      </w:r>
    </w:p>
    <w:p w:rsidR="003967A4" w:rsidRDefault="00CD7C51" w:rsidP="007705CD">
      <w:pPr>
        <w:pStyle w:val="BodyText"/>
        <w:numPr>
          <w:ilvl w:val="0"/>
          <w:numId w:val="24"/>
        </w:numPr>
        <w:rPr>
          <w:lang w:val="en-GB"/>
        </w:rPr>
      </w:pPr>
      <w:r w:rsidRPr="00B4306A">
        <w:t xml:space="preserve">A mobile station supporting </w:t>
      </w:r>
      <w:r>
        <w:t>EGPRS shall buffer up to 1024</w:t>
      </w:r>
      <w:r w:rsidR="004C67CC">
        <w:t xml:space="preserve"> RLC data blocks</w:t>
      </w:r>
      <w:r>
        <w:t xml:space="preserve">. </w:t>
      </w:r>
    </w:p>
    <w:p w:rsidR="00423608" w:rsidRDefault="007705CD" w:rsidP="00CC24C5">
      <w:pPr>
        <w:pStyle w:val="BodyText"/>
      </w:pPr>
      <w:r>
        <w:t>In the interest to reduce complexity while at the same time maintain a sufficiently large window size to avoid protocol stalling it is proposed that in the context of Cellular IoT it is to reduce the RLC buffer size to 16 and thus window size and sequence number space to</w:t>
      </w:r>
      <w:r w:rsidR="00697002">
        <w:t xml:space="preserve"> 16 and</w:t>
      </w:r>
      <w:r>
        <w:t xml:space="preserve"> 32, respectively. </w:t>
      </w:r>
      <w:r w:rsidR="004C67CC" w:rsidRPr="00306E60">
        <w:t xml:space="preserve">This window size is seen as </w:t>
      </w:r>
      <w:r w:rsidR="00431C84" w:rsidRPr="00306E60">
        <w:t xml:space="preserve">still </w:t>
      </w:r>
      <w:r w:rsidR="004C67CC" w:rsidRPr="00306E60">
        <w:t xml:space="preserve">being sufficient for the case of sending devices software updates </w:t>
      </w:r>
      <w:r w:rsidR="00431C84" w:rsidRPr="00306E60">
        <w:t xml:space="preserve">since these are to be modeled as having a cutoff of 2000 octets </w:t>
      </w:r>
      <w:r w:rsidR="00423608" w:rsidRPr="00306E60">
        <w:t xml:space="preserve">(see </w:t>
      </w:r>
      <w:r w:rsidR="00423608" w:rsidRPr="00BF01C5">
        <w:t>Traffic characteristics for Software download/reconfiguration model</w:t>
      </w:r>
      <w:r w:rsidR="00423608" w:rsidRPr="00306E60">
        <w:t xml:space="preserve"> in [5])</w:t>
      </w:r>
      <w:r w:rsidR="00423608" w:rsidRPr="00BF01C5">
        <w:t>.</w:t>
      </w:r>
      <w:r w:rsidR="00431C84">
        <w:t xml:space="preserve"> </w:t>
      </w:r>
    </w:p>
    <w:p w:rsidR="00A478F4" w:rsidRDefault="00A478F4" w:rsidP="00CC24C5">
      <w:pPr>
        <w:pStyle w:val="BodyText"/>
        <w:rPr>
          <w:b/>
          <w:color w:val="000000"/>
        </w:rPr>
      </w:pPr>
      <w:r>
        <w:rPr>
          <w:b/>
          <w:color w:val="000000"/>
        </w:rPr>
        <w:t xml:space="preserve">A cellular IoT device shall support a RLC </w:t>
      </w:r>
      <w:r w:rsidR="00BF3BE8">
        <w:rPr>
          <w:b/>
          <w:color w:val="000000"/>
        </w:rPr>
        <w:t xml:space="preserve">WS and RLC </w:t>
      </w:r>
      <w:r>
        <w:rPr>
          <w:b/>
          <w:color w:val="000000"/>
        </w:rPr>
        <w:t xml:space="preserve">buffer </w:t>
      </w:r>
      <w:r w:rsidR="00BF3BE8">
        <w:rPr>
          <w:b/>
          <w:color w:val="000000"/>
        </w:rPr>
        <w:t xml:space="preserve">size </w:t>
      </w:r>
      <w:r>
        <w:rPr>
          <w:b/>
          <w:color w:val="000000"/>
        </w:rPr>
        <w:t>of 16</w:t>
      </w:r>
      <w:r w:rsidRPr="00E40765">
        <w:rPr>
          <w:b/>
          <w:color w:val="000000"/>
        </w:rPr>
        <w:t>.</w:t>
      </w:r>
    </w:p>
    <w:p w:rsidR="00BF01C5" w:rsidRPr="00A478F4" w:rsidRDefault="00BF01C5" w:rsidP="00CC24C5">
      <w:pPr>
        <w:pStyle w:val="BodyText"/>
      </w:pPr>
    </w:p>
    <w:p w:rsidR="00361ADD" w:rsidRDefault="00A478F4" w:rsidP="00361ADD">
      <w:pPr>
        <w:pStyle w:val="Heading2"/>
      </w:pPr>
      <w:r>
        <w:t>Compression</w:t>
      </w:r>
      <w:r w:rsidR="00BF01C5">
        <w:t xml:space="preserve"> of </w:t>
      </w:r>
      <w:proofErr w:type="spellStart"/>
      <w:r w:rsidR="00BF01C5">
        <w:t>Ack</w:t>
      </w:r>
      <w:proofErr w:type="spellEnd"/>
      <w:r w:rsidR="00BF01C5">
        <w:t>/</w:t>
      </w:r>
      <w:proofErr w:type="spellStart"/>
      <w:r w:rsidR="00BF01C5">
        <w:t>Nack</w:t>
      </w:r>
      <w:proofErr w:type="spellEnd"/>
      <w:r w:rsidR="00BF01C5">
        <w:t xml:space="preserve"> bitmaps</w:t>
      </w:r>
    </w:p>
    <w:p w:rsidR="00A478F4" w:rsidRDefault="00A478F4" w:rsidP="00361ADD">
      <w:pPr>
        <w:pStyle w:val="BodyText"/>
      </w:pPr>
      <w:r>
        <w:t xml:space="preserve">Compression is used to compress the ACK/NACK bitmaps. Given that compression drives complexity and that the maximum Window size is 16 it is proposed that Cellular IoT devices do not need to support compression. </w:t>
      </w:r>
    </w:p>
    <w:p w:rsidR="003032F2" w:rsidRPr="009D152B" w:rsidRDefault="00A478F4" w:rsidP="00BF01C5">
      <w:pPr>
        <w:pStyle w:val="Heading2"/>
        <w:numPr>
          <w:ilvl w:val="0"/>
          <w:numId w:val="0"/>
        </w:numPr>
        <w:ind w:left="576" w:hanging="576"/>
        <w:rPr>
          <w:b w:val="0"/>
          <w:sz w:val="22"/>
        </w:rPr>
      </w:pPr>
      <w:r w:rsidRPr="009D152B">
        <w:rPr>
          <w:sz w:val="22"/>
        </w:rPr>
        <w:t xml:space="preserve">Compression </w:t>
      </w:r>
      <w:r w:rsidR="00BF3BE8" w:rsidRPr="009D152B">
        <w:rPr>
          <w:sz w:val="22"/>
        </w:rPr>
        <w:t xml:space="preserve">of </w:t>
      </w:r>
      <w:proofErr w:type="spellStart"/>
      <w:r w:rsidR="00BF3BE8" w:rsidRPr="009D152B">
        <w:rPr>
          <w:sz w:val="22"/>
        </w:rPr>
        <w:t>Ack</w:t>
      </w:r>
      <w:proofErr w:type="spellEnd"/>
      <w:r w:rsidR="00BF3BE8" w:rsidRPr="009D152B">
        <w:rPr>
          <w:sz w:val="22"/>
        </w:rPr>
        <w:t>/</w:t>
      </w:r>
      <w:proofErr w:type="spellStart"/>
      <w:r w:rsidR="00BF3BE8" w:rsidRPr="009D152B">
        <w:rPr>
          <w:sz w:val="22"/>
        </w:rPr>
        <w:t>Nack</w:t>
      </w:r>
      <w:proofErr w:type="spellEnd"/>
      <w:r w:rsidR="00BF3BE8" w:rsidRPr="009D152B">
        <w:rPr>
          <w:sz w:val="22"/>
        </w:rPr>
        <w:t xml:space="preserve"> bitmaps are </w:t>
      </w:r>
      <w:r w:rsidRPr="009D152B">
        <w:rPr>
          <w:sz w:val="22"/>
        </w:rPr>
        <w:t>not supported</w:t>
      </w:r>
    </w:p>
    <w:p w:rsidR="00361ADD" w:rsidRDefault="007F4EA5" w:rsidP="008A5F2D">
      <w:pPr>
        <w:pStyle w:val="Heading1"/>
      </w:pPr>
      <w:r>
        <w:t>RLC/MAC header design</w:t>
      </w:r>
    </w:p>
    <w:p w:rsidR="007F4EA5" w:rsidRDefault="007F4EA5" w:rsidP="008A5F2D">
      <w:pPr>
        <w:pStyle w:val="Heading2"/>
      </w:pPr>
      <w:r>
        <w:t>Header format</w:t>
      </w:r>
    </w:p>
    <w:p w:rsidR="007F4EA5" w:rsidRDefault="007F4EA5" w:rsidP="008A5F2D">
      <w:pPr>
        <w:pStyle w:val="BodyText"/>
      </w:pPr>
      <w:r>
        <w:t>The RLC/MAC header format is the same as for EGPRS MCSs (i.e. same payload size, channel coding definitions and burst mapping). Due to reduced RLC functionality the content of the header is re-defined.</w:t>
      </w:r>
    </w:p>
    <w:p w:rsidR="007F4EA5" w:rsidRDefault="007F4EA5" w:rsidP="008A5F2D">
      <w:pPr>
        <w:pStyle w:val="BodyText"/>
      </w:pPr>
      <w:r>
        <w:t xml:space="preserve">In </w:t>
      </w:r>
      <w:r w:rsidR="008A5F2D">
        <w:fldChar w:fldCharType="begin"/>
      </w:r>
      <w:r w:rsidR="008A5F2D">
        <w:instrText xml:space="preserve"> REF _Ref410171087 \h </w:instrText>
      </w:r>
      <w:r w:rsidR="008A5F2D">
        <w:fldChar w:fldCharType="separate"/>
      </w:r>
      <w:r w:rsidR="008A5F2D">
        <w:t xml:space="preserve">Figure </w:t>
      </w:r>
      <w:r w:rsidR="008A5F2D">
        <w:rPr>
          <w:noProof/>
        </w:rPr>
        <w:t>1</w:t>
      </w:r>
      <w:r w:rsidR="008A5F2D">
        <w:fldChar w:fldCharType="end"/>
      </w:r>
      <w:r>
        <w:t xml:space="preserve"> and </w:t>
      </w:r>
      <w:r w:rsidR="008A5F2D">
        <w:fldChar w:fldCharType="begin"/>
      </w:r>
      <w:r w:rsidR="008A5F2D">
        <w:instrText xml:space="preserve"> REF _Ref410171101 \h </w:instrText>
      </w:r>
      <w:r w:rsidR="008A5F2D">
        <w:fldChar w:fldCharType="separate"/>
      </w:r>
      <w:r w:rsidR="008A5F2D">
        <w:t xml:space="preserve">Figure </w:t>
      </w:r>
      <w:r w:rsidR="008A5F2D">
        <w:rPr>
          <w:noProof/>
        </w:rPr>
        <w:t>2</w:t>
      </w:r>
      <w:r w:rsidR="008A5F2D">
        <w:fldChar w:fldCharType="end"/>
      </w:r>
      <w:r>
        <w:t xml:space="preserve"> the format of the RLC/MAC header is shown for MCS-1-4 (Header Type 3) for the DL and UL respectively. In case a</w:t>
      </w:r>
      <w:r w:rsidR="008A5F2D">
        <w:t>n</w:t>
      </w:r>
      <w:r>
        <w:t xml:space="preserve"> IoT device supports the full EGPRS MCSs set, the same design principles applies to Header Type 1 (MCS-7-9) and Header Type 2 (MCS-5-6).</w:t>
      </w:r>
    </w:p>
    <w:tbl>
      <w:tblPr>
        <w:tblW w:w="0" w:type="auto"/>
        <w:jc w:val="center"/>
        <w:tblLayout w:type="fixed"/>
        <w:tblCellMar>
          <w:left w:w="28" w:type="dxa"/>
          <w:right w:w="28" w:type="dxa"/>
        </w:tblCellMar>
        <w:tblLook w:val="0000" w:firstRow="0" w:lastRow="0" w:firstColumn="0" w:lastColumn="0" w:noHBand="0" w:noVBand="0"/>
      </w:tblPr>
      <w:tblGrid>
        <w:gridCol w:w="586"/>
        <w:gridCol w:w="562"/>
        <w:gridCol w:w="6"/>
        <w:gridCol w:w="568"/>
        <w:gridCol w:w="569"/>
        <w:gridCol w:w="569"/>
        <w:gridCol w:w="582"/>
        <w:gridCol w:w="556"/>
        <w:gridCol w:w="11"/>
        <w:gridCol w:w="562"/>
        <w:gridCol w:w="687"/>
      </w:tblGrid>
      <w:tr w:rsidR="008A5F2D" w:rsidRPr="00BE3583" w:rsidTr="00506039">
        <w:trPr>
          <w:cantSplit/>
          <w:jc w:val="center"/>
        </w:trPr>
        <w:tc>
          <w:tcPr>
            <w:tcW w:w="586" w:type="dxa"/>
          </w:tcPr>
          <w:p w:rsidR="008A5F2D" w:rsidRPr="00BE3583" w:rsidRDefault="008A5F2D" w:rsidP="00506039">
            <w:pPr>
              <w:keepNext/>
              <w:keepLines/>
              <w:spacing w:after="0"/>
              <w:jc w:val="center"/>
              <w:rPr>
                <w:rFonts w:ascii="Arial" w:hAnsi="Arial"/>
                <w:sz w:val="18"/>
              </w:rPr>
            </w:pPr>
            <w:r w:rsidRPr="00BE3583">
              <w:rPr>
                <w:rFonts w:ascii="Arial" w:hAnsi="Arial"/>
                <w:sz w:val="18"/>
              </w:rPr>
              <w:lastRenderedPageBreak/>
              <w:t>8</w:t>
            </w:r>
          </w:p>
        </w:tc>
        <w:tc>
          <w:tcPr>
            <w:tcW w:w="568" w:type="dxa"/>
            <w:gridSpan w:val="2"/>
          </w:tcPr>
          <w:p w:rsidR="008A5F2D" w:rsidRPr="00BE3583" w:rsidRDefault="008A5F2D" w:rsidP="00506039">
            <w:pPr>
              <w:keepNext/>
              <w:keepLines/>
              <w:spacing w:after="0"/>
              <w:jc w:val="center"/>
              <w:rPr>
                <w:rFonts w:ascii="Arial" w:hAnsi="Arial"/>
                <w:sz w:val="18"/>
              </w:rPr>
            </w:pPr>
            <w:r w:rsidRPr="00BE3583">
              <w:rPr>
                <w:rFonts w:ascii="Arial" w:hAnsi="Arial"/>
                <w:sz w:val="18"/>
              </w:rPr>
              <w:t>7</w:t>
            </w:r>
          </w:p>
        </w:tc>
        <w:tc>
          <w:tcPr>
            <w:tcW w:w="568" w:type="dxa"/>
          </w:tcPr>
          <w:p w:rsidR="008A5F2D" w:rsidRPr="00BE3583" w:rsidRDefault="008A5F2D" w:rsidP="00506039">
            <w:pPr>
              <w:keepNext/>
              <w:keepLines/>
              <w:spacing w:after="0"/>
              <w:jc w:val="center"/>
              <w:rPr>
                <w:rFonts w:ascii="Arial" w:hAnsi="Arial"/>
                <w:sz w:val="18"/>
              </w:rPr>
            </w:pPr>
            <w:r w:rsidRPr="00BE3583">
              <w:rPr>
                <w:rFonts w:ascii="Arial" w:hAnsi="Arial"/>
                <w:sz w:val="18"/>
              </w:rPr>
              <w:t>6</w:t>
            </w:r>
          </w:p>
        </w:tc>
        <w:tc>
          <w:tcPr>
            <w:tcW w:w="569" w:type="dxa"/>
          </w:tcPr>
          <w:p w:rsidR="008A5F2D" w:rsidRPr="00BE3583" w:rsidRDefault="008A5F2D" w:rsidP="00506039">
            <w:pPr>
              <w:keepNext/>
              <w:keepLines/>
              <w:spacing w:after="0"/>
              <w:jc w:val="center"/>
              <w:rPr>
                <w:rFonts w:ascii="Arial" w:hAnsi="Arial"/>
                <w:sz w:val="18"/>
              </w:rPr>
            </w:pPr>
            <w:r w:rsidRPr="00BE3583">
              <w:rPr>
                <w:rFonts w:ascii="Arial" w:hAnsi="Arial"/>
                <w:sz w:val="18"/>
              </w:rPr>
              <w:t>5</w:t>
            </w:r>
          </w:p>
        </w:tc>
        <w:tc>
          <w:tcPr>
            <w:tcW w:w="569" w:type="dxa"/>
          </w:tcPr>
          <w:p w:rsidR="008A5F2D" w:rsidRPr="00BE3583" w:rsidRDefault="008A5F2D" w:rsidP="00506039">
            <w:pPr>
              <w:keepNext/>
              <w:keepLines/>
              <w:spacing w:after="0"/>
              <w:jc w:val="center"/>
              <w:rPr>
                <w:rFonts w:ascii="Arial" w:hAnsi="Arial"/>
                <w:sz w:val="18"/>
              </w:rPr>
            </w:pPr>
            <w:r w:rsidRPr="00BE3583">
              <w:rPr>
                <w:rFonts w:ascii="Arial" w:hAnsi="Arial"/>
                <w:sz w:val="18"/>
              </w:rPr>
              <w:t>4</w:t>
            </w:r>
          </w:p>
        </w:tc>
        <w:tc>
          <w:tcPr>
            <w:tcW w:w="582" w:type="dxa"/>
          </w:tcPr>
          <w:p w:rsidR="008A5F2D" w:rsidRPr="00BE3583" w:rsidRDefault="008A5F2D" w:rsidP="00506039">
            <w:pPr>
              <w:keepNext/>
              <w:keepLines/>
              <w:spacing w:after="0"/>
              <w:jc w:val="center"/>
              <w:rPr>
                <w:rFonts w:ascii="Arial" w:hAnsi="Arial"/>
                <w:sz w:val="18"/>
              </w:rPr>
            </w:pPr>
            <w:r w:rsidRPr="00BE3583">
              <w:rPr>
                <w:rFonts w:ascii="Arial" w:hAnsi="Arial"/>
                <w:sz w:val="18"/>
              </w:rPr>
              <w:t>3</w:t>
            </w:r>
          </w:p>
        </w:tc>
        <w:tc>
          <w:tcPr>
            <w:tcW w:w="567" w:type="dxa"/>
            <w:gridSpan w:val="2"/>
          </w:tcPr>
          <w:p w:rsidR="008A5F2D" w:rsidRPr="00BE3583" w:rsidRDefault="008A5F2D" w:rsidP="00506039">
            <w:pPr>
              <w:keepNext/>
              <w:keepLines/>
              <w:spacing w:after="0"/>
              <w:jc w:val="center"/>
              <w:rPr>
                <w:rFonts w:ascii="Arial" w:hAnsi="Arial"/>
                <w:sz w:val="18"/>
              </w:rPr>
            </w:pPr>
            <w:r w:rsidRPr="00BE3583">
              <w:rPr>
                <w:rFonts w:ascii="Arial" w:hAnsi="Arial"/>
                <w:sz w:val="18"/>
              </w:rPr>
              <w:t>2</w:t>
            </w:r>
          </w:p>
        </w:tc>
        <w:tc>
          <w:tcPr>
            <w:tcW w:w="562" w:type="dxa"/>
          </w:tcPr>
          <w:p w:rsidR="008A5F2D" w:rsidRPr="00BE3583" w:rsidRDefault="008A5F2D" w:rsidP="00506039">
            <w:pPr>
              <w:keepNext/>
              <w:keepLines/>
              <w:spacing w:after="0"/>
              <w:jc w:val="center"/>
              <w:rPr>
                <w:rFonts w:ascii="Arial" w:hAnsi="Arial"/>
                <w:sz w:val="18"/>
              </w:rPr>
            </w:pPr>
            <w:r w:rsidRPr="00BE3583">
              <w:rPr>
                <w:rFonts w:ascii="Arial" w:hAnsi="Arial"/>
                <w:sz w:val="18"/>
              </w:rPr>
              <w:t>1</w:t>
            </w:r>
          </w:p>
        </w:tc>
        <w:tc>
          <w:tcPr>
            <w:tcW w:w="687" w:type="dxa"/>
          </w:tcPr>
          <w:p w:rsidR="008A5F2D" w:rsidRPr="00BE3583" w:rsidRDefault="008A5F2D" w:rsidP="00506039">
            <w:pPr>
              <w:keepNext/>
              <w:keepLines/>
              <w:spacing w:after="0"/>
              <w:jc w:val="center"/>
              <w:rPr>
                <w:rFonts w:ascii="Arial" w:hAnsi="Arial"/>
                <w:sz w:val="18"/>
              </w:rPr>
            </w:pPr>
            <w:r w:rsidRPr="00BE3583">
              <w:rPr>
                <w:rFonts w:ascii="Arial" w:hAnsi="Arial"/>
                <w:sz w:val="18"/>
              </w:rPr>
              <w:t>Octet</w:t>
            </w:r>
          </w:p>
        </w:tc>
      </w:tr>
      <w:tr w:rsidR="008A5F2D" w:rsidRPr="00BE3583" w:rsidTr="00506039">
        <w:trPr>
          <w:cantSplit/>
          <w:jc w:val="center"/>
        </w:trPr>
        <w:tc>
          <w:tcPr>
            <w:tcW w:w="586" w:type="dxa"/>
            <w:tcBorders>
              <w:top w:val="single" w:sz="6" w:space="0" w:color="auto"/>
              <w:left w:val="single" w:sz="6" w:space="0" w:color="auto"/>
              <w:bottom w:val="single" w:sz="6" w:space="0" w:color="auto"/>
              <w:right w:val="single" w:sz="6" w:space="0" w:color="auto"/>
            </w:tcBorders>
          </w:tcPr>
          <w:p w:rsidR="008A5F2D" w:rsidRPr="00BE3583" w:rsidRDefault="008A5F2D" w:rsidP="00506039">
            <w:pPr>
              <w:keepNext/>
              <w:keepLines/>
              <w:spacing w:after="0"/>
              <w:jc w:val="center"/>
              <w:rPr>
                <w:rFonts w:ascii="Arial" w:hAnsi="Arial"/>
                <w:sz w:val="18"/>
              </w:rPr>
            </w:pPr>
            <w:r w:rsidRPr="00BE3583">
              <w:rPr>
                <w:rFonts w:ascii="Arial" w:hAnsi="Arial"/>
                <w:sz w:val="18"/>
              </w:rPr>
              <w:t>TFI</w:t>
            </w:r>
          </w:p>
        </w:tc>
        <w:tc>
          <w:tcPr>
            <w:tcW w:w="2274" w:type="dxa"/>
            <w:gridSpan w:val="5"/>
            <w:tcBorders>
              <w:top w:val="single" w:sz="6" w:space="0" w:color="auto"/>
              <w:left w:val="single" w:sz="6" w:space="0" w:color="auto"/>
              <w:bottom w:val="single" w:sz="6" w:space="0" w:color="auto"/>
            </w:tcBorders>
          </w:tcPr>
          <w:p w:rsidR="008A5F2D" w:rsidRPr="00BE3583" w:rsidRDefault="008A5F2D" w:rsidP="00506039">
            <w:pPr>
              <w:keepNext/>
              <w:keepLines/>
              <w:spacing w:after="0"/>
              <w:jc w:val="center"/>
              <w:rPr>
                <w:rFonts w:ascii="Arial" w:hAnsi="Arial"/>
                <w:sz w:val="18"/>
              </w:rPr>
            </w:pPr>
            <w:r>
              <w:rPr>
                <w:rFonts w:ascii="Arial" w:hAnsi="Arial"/>
                <w:sz w:val="18"/>
              </w:rPr>
              <w:t>CPS</w:t>
            </w:r>
          </w:p>
        </w:tc>
        <w:tc>
          <w:tcPr>
            <w:tcW w:w="1711" w:type="dxa"/>
            <w:gridSpan w:val="4"/>
            <w:tcBorders>
              <w:top w:val="single" w:sz="6" w:space="0" w:color="auto"/>
              <w:left w:val="single" w:sz="6" w:space="0" w:color="auto"/>
              <w:right w:val="single" w:sz="6" w:space="0" w:color="auto"/>
            </w:tcBorders>
          </w:tcPr>
          <w:p w:rsidR="008A5F2D" w:rsidRPr="00BE3583" w:rsidRDefault="008A5F2D" w:rsidP="00506039">
            <w:pPr>
              <w:keepNext/>
              <w:keepLines/>
              <w:spacing w:after="0"/>
              <w:jc w:val="center"/>
              <w:rPr>
                <w:rFonts w:ascii="Arial" w:hAnsi="Arial"/>
                <w:sz w:val="18"/>
              </w:rPr>
            </w:pPr>
            <w:r w:rsidRPr="00BE3583">
              <w:rPr>
                <w:rFonts w:ascii="Arial" w:hAnsi="Arial"/>
                <w:sz w:val="18"/>
              </w:rPr>
              <w:t>USF</w:t>
            </w:r>
          </w:p>
        </w:tc>
        <w:tc>
          <w:tcPr>
            <w:tcW w:w="687" w:type="dxa"/>
            <w:tcBorders>
              <w:left w:val="single" w:sz="6" w:space="0" w:color="auto"/>
            </w:tcBorders>
          </w:tcPr>
          <w:p w:rsidR="008A5F2D" w:rsidRPr="00BE3583" w:rsidRDefault="008A5F2D" w:rsidP="00506039">
            <w:pPr>
              <w:keepNext/>
              <w:keepLines/>
              <w:spacing w:after="0"/>
              <w:jc w:val="center"/>
              <w:rPr>
                <w:rFonts w:ascii="Arial" w:hAnsi="Arial"/>
                <w:sz w:val="18"/>
              </w:rPr>
            </w:pPr>
            <w:r w:rsidRPr="00BE3583">
              <w:rPr>
                <w:rFonts w:ascii="Arial" w:hAnsi="Arial"/>
                <w:sz w:val="18"/>
              </w:rPr>
              <w:t>1</w:t>
            </w:r>
          </w:p>
        </w:tc>
      </w:tr>
      <w:tr w:rsidR="008A5F2D" w:rsidRPr="00BE3583" w:rsidTr="00506039">
        <w:trPr>
          <w:cantSplit/>
          <w:jc w:val="center"/>
        </w:trPr>
        <w:tc>
          <w:tcPr>
            <w:tcW w:w="1154" w:type="dxa"/>
            <w:gridSpan w:val="3"/>
            <w:tcBorders>
              <w:left w:val="single" w:sz="6" w:space="0" w:color="auto"/>
            </w:tcBorders>
          </w:tcPr>
          <w:p w:rsidR="008A5F2D" w:rsidRPr="00BE3583" w:rsidRDefault="008A5F2D" w:rsidP="00506039">
            <w:pPr>
              <w:keepNext/>
              <w:keepLines/>
              <w:spacing w:after="0"/>
              <w:jc w:val="center"/>
              <w:rPr>
                <w:rFonts w:ascii="Arial" w:hAnsi="Arial"/>
                <w:sz w:val="18"/>
              </w:rPr>
            </w:pPr>
            <w:r>
              <w:rPr>
                <w:rFonts w:ascii="Arial" w:hAnsi="Arial"/>
                <w:sz w:val="18"/>
              </w:rPr>
              <w:t>P</w:t>
            </w:r>
          </w:p>
        </w:tc>
        <w:tc>
          <w:tcPr>
            <w:tcW w:w="1137" w:type="dxa"/>
            <w:gridSpan w:val="2"/>
            <w:tcBorders>
              <w:top w:val="single" w:sz="6" w:space="0" w:color="auto"/>
              <w:left w:val="single" w:sz="6" w:space="0" w:color="auto"/>
              <w:bottom w:val="single" w:sz="6" w:space="0" w:color="auto"/>
              <w:right w:val="single" w:sz="6" w:space="0" w:color="auto"/>
            </w:tcBorders>
          </w:tcPr>
          <w:p w:rsidR="008A5F2D" w:rsidRPr="00BE3583" w:rsidRDefault="008A5F2D" w:rsidP="00506039">
            <w:pPr>
              <w:keepNext/>
              <w:keepLines/>
              <w:spacing w:after="0"/>
              <w:jc w:val="center"/>
              <w:rPr>
                <w:rFonts w:ascii="Arial" w:hAnsi="Arial"/>
                <w:sz w:val="18"/>
              </w:rPr>
            </w:pPr>
            <w:r>
              <w:rPr>
                <w:rFonts w:ascii="Arial" w:hAnsi="Arial"/>
                <w:sz w:val="18"/>
              </w:rPr>
              <w:t>CC</w:t>
            </w:r>
          </w:p>
        </w:tc>
        <w:tc>
          <w:tcPr>
            <w:tcW w:w="2280" w:type="dxa"/>
            <w:gridSpan w:val="5"/>
            <w:tcBorders>
              <w:top w:val="single" w:sz="6" w:space="0" w:color="auto"/>
              <w:left w:val="single" w:sz="6" w:space="0" w:color="auto"/>
              <w:bottom w:val="single" w:sz="6" w:space="0" w:color="auto"/>
              <w:right w:val="single" w:sz="6" w:space="0" w:color="auto"/>
            </w:tcBorders>
          </w:tcPr>
          <w:p w:rsidR="008A5F2D" w:rsidRPr="00BE3583" w:rsidRDefault="008A5F2D" w:rsidP="00506039">
            <w:pPr>
              <w:keepNext/>
              <w:keepLines/>
              <w:spacing w:after="0"/>
              <w:jc w:val="center"/>
              <w:rPr>
                <w:rFonts w:ascii="Arial" w:hAnsi="Arial"/>
                <w:sz w:val="18"/>
              </w:rPr>
            </w:pPr>
            <w:r w:rsidRPr="00BE3583">
              <w:rPr>
                <w:rFonts w:ascii="Arial" w:hAnsi="Arial"/>
                <w:sz w:val="18"/>
              </w:rPr>
              <w:t>TFI</w:t>
            </w:r>
          </w:p>
        </w:tc>
        <w:tc>
          <w:tcPr>
            <w:tcW w:w="687" w:type="dxa"/>
            <w:tcBorders>
              <w:left w:val="single" w:sz="6" w:space="0" w:color="auto"/>
            </w:tcBorders>
          </w:tcPr>
          <w:p w:rsidR="008A5F2D" w:rsidRPr="00BE3583" w:rsidRDefault="008A5F2D" w:rsidP="00506039">
            <w:pPr>
              <w:keepNext/>
              <w:keepLines/>
              <w:spacing w:after="0"/>
              <w:jc w:val="center"/>
              <w:rPr>
                <w:rFonts w:ascii="Arial" w:hAnsi="Arial"/>
                <w:sz w:val="18"/>
              </w:rPr>
            </w:pPr>
            <w:r w:rsidRPr="00BE3583">
              <w:rPr>
                <w:rFonts w:ascii="Arial" w:hAnsi="Arial"/>
                <w:sz w:val="18"/>
              </w:rPr>
              <w:t>2</w:t>
            </w:r>
          </w:p>
        </w:tc>
      </w:tr>
      <w:tr w:rsidR="008A5F2D" w:rsidRPr="00BE3583" w:rsidTr="00506039">
        <w:trPr>
          <w:cantSplit/>
          <w:jc w:val="center"/>
        </w:trPr>
        <w:tc>
          <w:tcPr>
            <w:tcW w:w="1148" w:type="dxa"/>
            <w:gridSpan w:val="2"/>
            <w:tcBorders>
              <w:top w:val="single" w:sz="6" w:space="0" w:color="auto"/>
              <w:left w:val="single" w:sz="6" w:space="0" w:color="auto"/>
              <w:right w:val="single" w:sz="6" w:space="0" w:color="auto"/>
            </w:tcBorders>
          </w:tcPr>
          <w:p w:rsidR="008A5F2D" w:rsidRPr="00BE3583" w:rsidRDefault="008A5F2D" w:rsidP="00506039">
            <w:pPr>
              <w:keepNext/>
              <w:keepLines/>
              <w:spacing w:after="0"/>
              <w:jc w:val="center"/>
              <w:rPr>
                <w:rFonts w:ascii="Arial" w:hAnsi="Arial"/>
                <w:sz w:val="18"/>
              </w:rPr>
            </w:pPr>
            <w:r>
              <w:rPr>
                <w:rFonts w:ascii="Arial" w:hAnsi="Arial"/>
                <w:sz w:val="18"/>
              </w:rPr>
              <w:t>SPB</w:t>
            </w:r>
          </w:p>
        </w:tc>
        <w:tc>
          <w:tcPr>
            <w:tcW w:w="2850" w:type="dxa"/>
            <w:gridSpan w:val="6"/>
            <w:tcBorders>
              <w:top w:val="single" w:sz="6" w:space="0" w:color="auto"/>
              <w:left w:val="single" w:sz="6" w:space="0" w:color="auto"/>
              <w:right w:val="single" w:sz="6" w:space="0" w:color="auto"/>
            </w:tcBorders>
          </w:tcPr>
          <w:p w:rsidR="008A5F2D" w:rsidRPr="00BE3583" w:rsidRDefault="008A5F2D" w:rsidP="00506039">
            <w:pPr>
              <w:keepNext/>
              <w:keepLines/>
              <w:spacing w:after="0"/>
              <w:jc w:val="center"/>
              <w:rPr>
                <w:rFonts w:ascii="Arial" w:hAnsi="Arial"/>
                <w:sz w:val="18"/>
              </w:rPr>
            </w:pPr>
            <w:r>
              <w:rPr>
                <w:rFonts w:ascii="Arial" w:hAnsi="Arial"/>
                <w:sz w:val="18"/>
              </w:rPr>
              <w:t>BSN</w:t>
            </w:r>
          </w:p>
        </w:tc>
        <w:tc>
          <w:tcPr>
            <w:tcW w:w="573" w:type="dxa"/>
            <w:gridSpan w:val="2"/>
            <w:tcBorders>
              <w:top w:val="single" w:sz="6" w:space="0" w:color="auto"/>
              <w:left w:val="single" w:sz="6" w:space="0" w:color="auto"/>
              <w:right w:val="single" w:sz="6" w:space="0" w:color="auto"/>
            </w:tcBorders>
          </w:tcPr>
          <w:p w:rsidR="008A5F2D" w:rsidRPr="00BE3583" w:rsidRDefault="008A5F2D" w:rsidP="00506039">
            <w:pPr>
              <w:keepNext/>
              <w:keepLines/>
              <w:spacing w:after="0"/>
              <w:jc w:val="center"/>
              <w:rPr>
                <w:rFonts w:ascii="Arial" w:hAnsi="Arial"/>
                <w:sz w:val="18"/>
              </w:rPr>
            </w:pPr>
            <w:r>
              <w:rPr>
                <w:rFonts w:ascii="Arial" w:hAnsi="Arial"/>
                <w:sz w:val="18"/>
              </w:rPr>
              <w:t>Spare</w:t>
            </w:r>
          </w:p>
        </w:tc>
        <w:tc>
          <w:tcPr>
            <w:tcW w:w="687" w:type="dxa"/>
            <w:tcBorders>
              <w:left w:val="single" w:sz="6" w:space="0" w:color="auto"/>
            </w:tcBorders>
          </w:tcPr>
          <w:p w:rsidR="008A5F2D" w:rsidRPr="00BE3583" w:rsidRDefault="008A5F2D" w:rsidP="00506039">
            <w:pPr>
              <w:keepNext/>
              <w:keepLines/>
              <w:spacing w:after="0"/>
              <w:jc w:val="center"/>
              <w:rPr>
                <w:rFonts w:ascii="Arial" w:hAnsi="Arial"/>
                <w:sz w:val="18"/>
              </w:rPr>
            </w:pPr>
            <w:r w:rsidRPr="00BE3583">
              <w:rPr>
                <w:rFonts w:ascii="Arial" w:hAnsi="Arial"/>
                <w:sz w:val="18"/>
              </w:rPr>
              <w:t>3</w:t>
            </w:r>
          </w:p>
        </w:tc>
      </w:tr>
      <w:tr w:rsidR="008A5F2D" w:rsidRPr="00BE3583" w:rsidTr="00506039">
        <w:trPr>
          <w:cantSplit/>
          <w:jc w:val="center"/>
        </w:trPr>
        <w:tc>
          <w:tcPr>
            <w:tcW w:w="586" w:type="dxa"/>
            <w:tcBorders>
              <w:top w:val="single" w:sz="6" w:space="0" w:color="auto"/>
              <w:right w:val="single" w:sz="6" w:space="0" w:color="auto"/>
            </w:tcBorders>
          </w:tcPr>
          <w:p w:rsidR="008A5F2D" w:rsidRPr="00BE3583" w:rsidRDefault="008A5F2D" w:rsidP="00506039">
            <w:pPr>
              <w:keepNext/>
              <w:keepLines/>
              <w:spacing w:after="0"/>
              <w:jc w:val="center"/>
              <w:rPr>
                <w:rFonts w:ascii="Arial" w:hAnsi="Arial"/>
                <w:sz w:val="18"/>
              </w:rPr>
            </w:pPr>
          </w:p>
        </w:tc>
        <w:tc>
          <w:tcPr>
            <w:tcW w:w="3985" w:type="dxa"/>
            <w:gridSpan w:val="9"/>
            <w:tcBorders>
              <w:top w:val="single" w:sz="6" w:space="0" w:color="auto"/>
              <w:left w:val="single" w:sz="6" w:space="0" w:color="auto"/>
              <w:bottom w:val="single" w:sz="6" w:space="0" w:color="auto"/>
              <w:right w:val="single" w:sz="6" w:space="0" w:color="auto"/>
            </w:tcBorders>
          </w:tcPr>
          <w:p w:rsidR="008A5F2D" w:rsidRPr="00BE3583" w:rsidRDefault="008A5F2D" w:rsidP="00506039">
            <w:pPr>
              <w:keepNext/>
              <w:keepLines/>
              <w:spacing w:after="0"/>
              <w:jc w:val="center"/>
              <w:rPr>
                <w:rFonts w:ascii="Arial" w:hAnsi="Arial"/>
                <w:sz w:val="18"/>
              </w:rPr>
            </w:pPr>
            <w:r>
              <w:rPr>
                <w:rFonts w:ascii="Arial" w:hAnsi="Arial"/>
                <w:sz w:val="18"/>
              </w:rPr>
              <w:t>Spare</w:t>
            </w:r>
          </w:p>
        </w:tc>
        <w:tc>
          <w:tcPr>
            <w:tcW w:w="687" w:type="dxa"/>
            <w:tcBorders>
              <w:left w:val="single" w:sz="6" w:space="0" w:color="auto"/>
            </w:tcBorders>
          </w:tcPr>
          <w:p w:rsidR="008A5F2D" w:rsidRPr="00BE3583" w:rsidRDefault="008A5F2D" w:rsidP="00506039">
            <w:pPr>
              <w:keepNext/>
              <w:keepLines/>
              <w:spacing w:after="0"/>
              <w:jc w:val="center"/>
              <w:rPr>
                <w:rFonts w:ascii="Arial" w:hAnsi="Arial"/>
                <w:sz w:val="18"/>
              </w:rPr>
            </w:pPr>
            <w:r w:rsidRPr="00BE3583">
              <w:rPr>
                <w:rFonts w:ascii="Arial" w:hAnsi="Arial"/>
                <w:sz w:val="18"/>
              </w:rPr>
              <w:t>4</w:t>
            </w:r>
          </w:p>
        </w:tc>
      </w:tr>
    </w:tbl>
    <w:p w:rsidR="007F4EA5" w:rsidRDefault="008A5F2D" w:rsidP="008A5F2D">
      <w:pPr>
        <w:pStyle w:val="Caption"/>
      </w:pPr>
      <w:bookmarkStart w:id="0" w:name="_Ref410171087"/>
      <w:proofErr w:type="gramStart"/>
      <w:r>
        <w:t xml:space="preserve">Figure </w:t>
      </w:r>
      <w:fldSimple w:instr=" SEQ Figure \* ARABIC ">
        <w:r>
          <w:rPr>
            <w:noProof/>
          </w:rPr>
          <w:t>1</w:t>
        </w:r>
      </w:fldSimple>
      <w:bookmarkEnd w:id="0"/>
      <w:r w:rsidR="007F4EA5">
        <w:t>.</w:t>
      </w:r>
      <w:proofErr w:type="gramEnd"/>
      <w:r w:rsidR="007F4EA5">
        <w:t xml:space="preserve"> EGPRS downlink RLC data block header for MCS-1, MCS-2, MCS-3 and MCS-4.</w:t>
      </w:r>
    </w:p>
    <w:tbl>
      <w:tblPr>
        <w:tblW w:w="0" w:type="auto"/>
        <w:jc w:val="center"/>
        <w:tblLayout w:type="fixed"/>
        <w:tblCellMar>
          <w:left w:w="28" w:type="dxa"/>
          <w:right w:w="28" w:type="dxa"/>
        </w:tblCellMar>
        <w:tblLook w:val="0000" w:firstRow="0" w:lastRow="0" w:firstColumn="0" w:lastColumn="0" w:noHBand="0" w:noVBand="0"/>
      </w:tblPr>
      <w:tblGrid>
        <w:gridCol w:w="585"/>
        <w:gridCol w:w="567"/>
        <w:gridCol w:w="577"/>
        <w:gridCol w:w="567"/>
        <w:gridCol w:w="567"/>
        <w:gridCol w:w="567"/>
        <w:gridCol w:w="567"/>
        <w:gridCol w:w="567"/>
        <w:gridCol w:w="687"/>
      </w:tblGrid>
      <w:tr w:rsidR="008A5F2D" w:rsidRPr="00BE3583" w:rsidTr="00506039">
        <w:trPr>
          <w:cantSplit/>
          <w:jc w:val="center"/>
        </w:trPr>
        <w:tc>
          <w:tcPr>
            <w:tcW w:w="585" w:type="dxa"/>
          </w:tcPr>
          <w:p w:rsidR="008A5F2D" w:rsidRPr="00BE3583" w:rsidRDefault="008A5F2D" w:rsidP="00506039">
            <w:pPr>
              <w:pStyle w:val="TAC"/>
            </w:pPr>
            <w:r w:rsidRPr="00BE3583">
              <w:t>8</w:t>
            </w:r>
          </w:p>
        </w:tc>
        <w:tc>
          <w:tcPr>
            <w:tcW w:w="567" w:type="dxa"/>
          </w:tcPr>
          <w:p w:rsidR="008A5F2D" w:rsidRPr="00BE3583" w:rsidRDefault="008A5F2D" w:rsidP="00506039">
            <w:pPr>
              <w:pStyle w:val="TAC"/>
            </w:pPr>
            <w:r w:rsidRPr="00BE3583">
              <w:t>7</w:t>
            </w:r>
          </w:p>
        </w:tc>
        <w:tc>
          <w:tcPr>
            <w:tcW w:w="577" w:type="dxa"/>
          </w:tcPr>
          <w:p w:rsidR="008A5F2D" w:rsidRPr="00BE3583" w:rsidRDefault="008A5F2D" w:rsidP="00506039">
            <w:pPr>
              <w:pStyle w:val="TAC"/>
            </w:pPr>
            <w:r w:rsidRPr="00BE3583">
              <w:t>6</w:t>
            </w:r>
          </w:p>
        </w:tc>
        <w:tc>
          <w:tcPr>
            <w:tcW w:w="567" w:type="dxa"/>
          </w:tcPr>
          <w:p w:rsidR="008A5F2D" w:rsidRPr="00BE3583" w:rsidRDefault="008A5F2D" w:rsidP="00506039">
            <w:pPr>
              <w:pStyle w:val="TAC"/>
            </w:pPr>
            <w:r w:rsidRPr="00BE3583">
              <w:t>5</w:t>
            </w:r>
          </w:p>
        </w:tc>
        <w:tc>
          <w:tcPr>
            <w:tcW w:w="567" w:type="dxa"/>
          </w:tcPr>
          <w:p w:rsidR="008A5F2D" w:rsidRPr="00BE3583" w:rsidRDefault="008A5F2D" w:rsidP="00506039">
            <w:pPr>
              <w:pStyle w:val="TAC"/>
            </w:pPr>
            <w:r w:rsidRPr="00BE3583">
              <w:t>4</w:t>
            </w:r>
          </w:p>
        </w:tc>
        <w:tc>
          <w:tcPr>
            <w:tcW w:w="567" w:type="dxa"/>
          </w:tcPr>
          <w:p w:rsidR="008A5F2D" w:rsidRPr="00BE3583" w:rsidRDefault="008A5F2D" w:rsidP="00506039">
            <w:pPr>
              <w:pStyle w:val="TAC"/>
            </w:pPr>
            <w:r w:rsidRPr="00BE3583">
              <w:t>3</w:t>
            </w:r>
          </w:p>
        </w:tc>
        <w:tc>
          <w:tcPr>
            <w:tcW w:w="567" w:type="dxa"/>
          </w:tcPr>
          <w:p w:rsidR="008A5F2D" w:rsidRPr="00BE3583" w:rsidRDefault="008A5F2D" w:rsidP="00506039">
            <w:pPr>
              <w:pStyle w:val="TAC"/>
            </w:pPr>
            <w:r w:rsidRPr="00BE3583">
              <w:t>2</w:t>
            </w:r>
          </w:p>
        </w:tc>
        <w:tc>
          <w:tcPr>
            <w:tcW w:w="567" w:type="dxa"/>
          </w:tcPr>
          <w:p w:rsidR="008A5F2D" w:rsidRPr="00BE3583" w:rsidRDefault="008A5F2D" w:rsidP="00506039">
            <w:pPr>
              <w:pStyle w:val="TAC"/>
            </w:pPr>
            <w:r w:rsidRPr="00BE3583">
              <w:t>1</w:t>
            </w:r>
          </w:p>
        </w:tc>
        <w:tc>
          <w:tcPr>
            <w:tcW w:w="687" w:type="dxa"/>
          </w:tcPr>
          <w:p w:rsidR="008A5F2D" w:rsidRPr="00BE3583" w:rsidRDefault="008A5F2D" w:rsidP="00506039">
            <w:pPr>
              <w:pStyle w:val="TAC"/>
            </w:pPr>
            <w:r w:rsidRPr="00BE3583">
              <w:t>Octet</w:t>
            </w:r>
          </w:p>
        </w:tc>
      </w:tr>
      <w:tr w:rsidR="008A5F2D" w:rsidRPr="00BE3583" w:rsidTr="00506039">
        <w:trPr>
          <w:cantSplit/>
          <w:jc w:val="center"/>
        </w:trPr>
        <w:tc>
          <w:tcPr>
            <w:tcW w:w="1152" w:type="dxa"/>
            <w:gridSpan w:val="2"/>
            <w:tcBorders>
              <w:top w:val="single" w:sz="6" w:space="0" w:color="auto"/>
              <w:left w:val="single" w:sz="6" w:space="0" w:color="auto"/>
              <w:bottom w:val="single" w:sz="6" w:space="0" w:color="auto"/>
            </w:tcBorders>
          </w:tcPr>
          <w:p w:rsidR="008A5F2D" w:rsidRPr="00BE3583" w:rsidRDefault="008A5F2D" w:rsidP="00506039">
            <w:pPr>
              <w:pStyle w:val="TAC"/>
            </w:pPr>
            <w:r w:rsidRPr="00BE3583">
              <w:t>TFI</w:t>
            </w:r>
          </w:p>
        </w:tc>
        <w:tc>
          <w:tcPr>
            <w:tcW w:w="2278" w:type="dxa"/>
            <w:gridSpan w:val="4"/>
            <w:tcBorders>
              <w:top w:val="single" w:sz="6" w:space="0" w:color="auto"/>
              <w:left w:val="single" w:sz="6" w:space="0" w:color="auto"/>
              <w:bottom w:val="single" w:sz="6" w:space="0" w:color="auto"/>
            </w:tcBorders>
          </w:tcPr>
          <w:p w:rsidR="008A5F2D" w:rsidRPr="00BE3583" w:rsidRDefault="008A5F2D" w:rsidP="00506039">
            <w:pPr>
              <w:pStyle w:val="TAC"/>
            </w:pPr>
            <w:r w:rsidRPr="00BE3583">
              <w:t>Countdown Value</w:t>
            </w:r>
          </w:p>
        </w:tc>
        <w:tc>
          <w:tcPr>
            <w:tcW w:w="567" w:type="dxa"/>
            <w:tcBorders>
              <w:top w:val="single" w:sz="6" w:space="0" w:color="auto"/>
              <w:left w:val="single" w:sz="6" w:space="0" w:color="auto"/>
              <w:bottom w:val="single" w:sz="6" w:space="0" w:color="auto"/>
            </w:tcBorders>
          </w:tcPr>
          <w:p w:rsidR="008A5F2D" w:rsidRPr="00BE3583" w:rsidRDefault="008A5F2D" w:rsidP="00506039">
            <w:pPr>
              <w:pStyle w:val="TAC"/>
            </w:pPr>
            <w:r w:rsidRPr="00BE3583">
              <w:t>SI</w:t>
            </w:r>
          </w:p>
        </w:tc>
        <w:tc>
          <w:tcPr>
            <w:tcW w:w="567" w:type="dxa"/>
            <w:tcBorders>
              <w:top w:val="single" w:sz="6" w:space="0" w:color="auto"/>
              <w:left w:val="single" w:sz="6" w:space="0" w:color="auto"/>
              <w:bottom w:val="single" w:sz="6" w:space="0" w:color="auto"/>
              <w:right w:val="single" w:sz="6" w:space="0" w:color="auto"/>
            </w:tcBorders>
          </w:tcPr>
          <w:p w:rsidR="008A5F2D" w:rsidRPr="00BE3583" w:rsidRDefault="008A5F2D" w:rsidP="00506039">
            <w:pPr>
              <w:pStyle w:val="TAC"/>
            </w:pPr>
            <w:r w:rsidRPr="00BE3583">
              <w:t>R</w:t>
            </w:r>
          </w:p>
        </w:tc>
        <w:tc>
          <w:tcPr>
            <w:tcW w:w="687" w:type="dxa"/>
            <w:tcBorders>
              <w:left w:val="single" w:sz="6" w:space="0" w:color="auto"/>
            </w:tcBorders>
          </w:tcPr>
          <w:p w:rsidR="008A5F2D" w:rsidRPr="00BE3583" w:rsidRDefault="008A5F2D" w:rsidP="00506039">
            <w:pPr>
              <w:pStyle w:val="TAC"/>
            </w:pPr>
            <w:r w:rsidRPr="00BE3583">
              <w:t>1</w:t>
            </w:r>
          </w:p>
        </w:tc>
      </w:tr>
      <w:tr w:rsidR="008A5F2D" w:rsidRPr="00BE3583" w:rsidTr="00506039">
        <w:trPr>
          <w:cantSplit/>
          <w:jc w:val="center"/>
        </w:trPr>
        <w:tc>
          <w:tcPr>
            <w:tcW w:w="2863" w:type="dxa"/>
            <w:gridSpan w:val="5"/>
            <w:tcBorders>
              <w:left w:val="single" w:sz="6" w:space="0" w:color="auto"/>
              <w:right w:val="single" w:sz="6" w:space="0" w:color="auto"/>
            </w:tcBorders>
          </w:tcPr>
          <w:p w:rsidR="008A5F2D" w:rsidRPr="00BE3583" w:rsidRDefault="008A5F2D" w:rsidP="00506039">
            <w:pPr>
              <w:pStyle w:val="TAC"/>
            </w:pPr>
            <w:r>
              <w:t>BSN</w:t>
            </w:r>
          </w:p>
        </w:tc>
        <w:tc>
          <w:tcPr>
            <w:tcW w:w="1701" w:type="dxa"/>
            <w:gridSpan w:val="3"/>
            <w:tcBorders>
              <w:left w:val="single" w:sz="6" w:space="0" w:color="auto"/>
              <w:right w:val="single" w:sz="6" w:space="0" w:color="auto"/>
            </w:tcBorders>
          </w:tcPr>
          <w:p w:rsidR="008A5F2D" w:rsidRPr="00BE3583" w:rsidRDefault="008A5F2D" w:rsidP="00506039">
            <w:pPr>
              <w:pStyle w:val="TAC"/>
            </w:pPr>
            <w:r w:rsidRPr="00BE3583">
              <w:t>TFI</w:t>
            </w:r>
          </w:p>
        </w:tc>
        <w:tc>
          <w:tcPr>
            <w:tcW w:w="687" w:type="dxa"/>
            <w:tcBorders>
              <w:left w:val="single" w:sz="6" w:space="0" w:color="auto"/>
            </w:tcBorders>
          </w:tcPr>
          <w:p w:rsidR="008A5F2D" w:rsidRPr="00BE3583" w:rsidRDefault="008A5F2D" w:rsidP="00506039">
            <w:pPr>
              <w:pStyle w:val="TAC"/>
            </w:pPr>
            <w:r w:rsidRPr="00BE3583">
              <w:t>2</w:t>
            </w:r>
          </w:p>
        </w:tc>
      </w:tr>
      <w:tr w:rsidR="008A5F2D" w:rsidRPr="00BE3583" w:rsidTr="00506039">
        <w:trPr>
          <w:cantSplit/>
          <w:jc w:val="center"/>
        </w:trPr>
        <w:tc>
          <w:tcPr>
            <w:tcW w:w="1152" w:type="dxa"/>
            <w:gridSpan w:val="2"/>
            <w:tcBorders>
              <w:top w:val="single" w:sz="6" w:space="0" w:color="auto"/>
              <w:left w:val="single" w:sz="6" w:space="0" w:color="auto"/>
              <w:right w:val="single" w:sz="6" w:space="0" w:color="auto"/>
            </w:tcBorders>
          </w:tcPr>
          <w:p w:rsidR="008A5F2D" w:rsidRPr="00BE3583" w:rsidRDefault="008A5F2D" w:rsidP="00506039">
            <w:pPr>
              <w:pStyle w:val="TAC"/>
            </w:pPr>
            <w:r w:rsidRPr="00BE3583">
              <w:t>CPS</w:t>
            </w:r>
          </w:p>
        </w:tc>
        <w:tc>
          <w:tcPr>
            <w:tcW w:w="3412" w:type="dxa"/>
            <w:gridSpan w:val="6"/>
            <w:tcBorders>
              <w:top w:val="single" w:sz="6" w:space="0" w:color="auto"/>
              <w:left w:val="single" w:sz="6" w:space="0" w:color="auto"/>
              <w:right w:val="single" w:sz="6" w:space="0" w:color="auto"/>
            </w:tcBorders>
          </w:tcPr>
          <w:p w:rsidR="008A5F2D" w:rsidRPr="00BE3583" w:rsidRDefault="008A5F2D" w:rsidP="00506039">
            <w:pPr>
              <w:pStyle w:val="TAC"/>
            </w:pPr>
            <w:r>
              <w:t>Spare</w:t>
            </w:r>
          </w:p>
        </w:tc>
        <w:tc>
          <w:tcPr>
            <w:tcW w:w="687" w:type="dxa"/>
            <w:tcBorders>
              <w:left w:val="single" w:sz="6" w:space="0" w:color="auto"/>
            </w:tcBorders>
          </w:tcPr>
          <w:p w:rsidR="008A5F2D" w:rsidRPr="00BE3583" w:rsidRDefault="008A5F2D" w:rsidP="00506039">
            <w:pPr>
              <w:pStyle w:val="TAC"/>
            </w:pPr>
            <w:r w:rsidRPr="00BE3583">
              <w:t>3</w:t>
            </w:r>
          </w:p>
        </w:tc>
      </w:tr>
      <w:tr w:rsidR="008A5F2D" w:rsidRPr="00BE3583" w:rsidTr="00506039">
        <w:trPr>
          <w:cantSplit/>
          <w:jc w:val="center"/>
        </w:trPr>
        <w:tc>
          <w:tcPr>
            <w:tcW w:w="585" w:type="dxa"/>
            <w:tcBorders>
              <w:top w:val="single" w:sz="6" w:space="0" w:color="auto"/>
              <w:right w:val="single" w:sz="6" w:space="0" w:color="auto"/>
            </w:tcBorders>
          </w:tcPr>
          <w:p w:rsidR="008A5F2D" w:rsidRPr="00BE3583" w:rsidRDefault="008A5F2D" w:rsidP="00506039"/>
        </w:tc>
        <w:tc>
          <w:tcPr>
            <w:tcW w:w="1711" w:type="dxa"/>
            <w:gridSpan w:val="3"/>
            <w:tcBorders>
              <w:top w:val="single" w:sz="6" w:space="0" w:color="auto"/>
              <w:left w:val="single" w:sz="6" w:space="0" w:color="auto"/>
              <w:bottom w:val="single" w:sz="6" w:space="0" w:color="auto"/>
              <w:right w:val="single" w:sz="6" w:space="0" w:color="auto"/>
            </w:tcBorders>
          </w:tcPr>
          <w:p w:rsidR="008A5F2D" w:rsidRPr="00BE3583" w:rsidRDefault="008A5F2D" w:rsidP="00506039">
            <w:pPr>
              <w:pStyle w:val="TAC"/>
            </w:pPr>
            <w:r w:rsidRPr="00BE3583">
              <w:t>Spare</w:t>
            </w:r>
          </w:p>
        </w:tc>
        <w:tc>
          <w:tcPr>
            <w:tcW w:w="1134" w:type="dxa"/>
            <w:gridSpan w:val="2"/>
            <w:tcBorders>
              <w:top w:val="single" w:sz="6" w:space="0" w:color="auto"/>
              <w:left w:val="single" w:sz="6" w:space="0" w:color="auto"/>
              <w:bottom w:val="single" w:sz="6" w:space="0" w:color="auto"/>
              <w:right w:val="single" w:sz="6" w:space="0" w:color="auto"/>
            </w:tcBorders>
          </w:tcPr>
          <w:p w:rsidR="008A5F2D" w:rsidRPr="00BE3583" w:rsidRDefault="008A5F2D" w:rsidP="00506039">
            <w:pPr>
              <w:pStyle w:val="TAC"/>
            </w:pPr>
            <w:r w:rsidRPr="00BE3583">
              <w:t>SPB</w:t>
            </w:r>
          </w:p>
        </w:tc>
        <w:tc>
          <w:tcPr>
            <w:tcW w:w="1134" w:type="dxa"/>
            <w:gridSpan w:val="2"/>
            <w:tcBorders>
              <w:top w:val="single" w:sz="6" w:space="0" w:color="auto"/>
              <w:left w:val="single" w:sz="6" w:space="0" w:color="auto"/>
              <w:bottom w:val="single" w:sz="6" w:space="0" w:color="auto"/>
              <w:right w:val="single" w:sz="6" w:space="0" w:color="auto"/>
            </w:tcBorders>
          </w:tcPr>
          <w:p w:rsidR="008A5F2D" w:rsidRPr="00BE3583" w:rsidRDefault="008A5F2D" w:rsidP="00506039">
            <w:pPr>
              <w:pStyle w:val="TAC"/>
            </w:pPr>
            <w:r w:rsidRPr="00BE3583">
              <w:t>CPS</w:t>
            </w:r>
          </w:p>
        </w:tc>
        <w:tc>
          <w:tcPr>
            <w:tcW w:w="687" w:type="dxa"/>
            <w:tcBorders>
              <w:left w:val="single" w:sz="6" w:space="0" w:color="auto"/>
            </w:tcBorders>
          </w:tcPr>
          <w:p w:rsidR="008A5F2D" w:rsidRPr="00BE3583" w:rsidRDefault="008A5F2D" w:rsidP="00506039">
            <w:pPr>
              <w:pStyle w:val="TAC"/>
            </w:pPr>
            <w:r w:rsidRPr="00BE3583">
              <w:t>4</w:t>
            </w:r>
          </w:p>
        </w:tc>
      </w:tr>
    </w:tbl>
    <w:p w:rsidR="008A5F2D" w:rsidRDefault="008A5F2D" w:rsidP="007F4EA5"/>
    <w:p w:rsidR="007F4EA5" w:rsidRDefault="008A5F2D" w:rsidP="008A5F2D">
      <w:pPr>
        <w:pStyle w:val="Caption"/>
      </w:pPr>
      <w:bookmarkStart w:id="1" w:name="_Ref410171101"/>
      <w:proofErr w:type="gramStart"/>
      <w:r>
        <w:t xml:space="preserve">Figure </w:t>
      </w:r>
      <w:fldSimple w:instr=" SEQ Figure \* ARABIC ">
        <w:r>
          <w:rPr>
            <w:noProof/>
          </w:rPr>
          <w:t>2</w:t>
        </w:r>
      </w:fldSimple>
      <w:bookmarkEnd w:id="1"/>
      <w:r w:rsidR="007F4EA5">
        <w:t>.</w:t>
      </w:r>
      <w:proofErr w:type="gramEnd"/>
      <w:r w:rsidR="007F4EA5">
        <w:t xml:space="preserve"> EGPRS uplink RLC data block header for MCS-1, MCS-2, MCS-3 and MCS-4.</w:t>
      </w:r>
    </w:p>
    <w:p w:rsidR="007F4EA5" w:rsidRDefault="007F4EA5" w:rsidP="00BF01C5">
      <w:pPr>
        <w:pStyle w:val="Heading3"/>
      </w:pPr>
      <w:bookmarkStart w:id="2" w:name="_Ref410171447"/>
      <w:r>
        <w:t>Temporary Flow Identity (TFI)</w:t>
      </w:r>
      <w:bookmarkEnd w:id="2"/>
    </w:p>
    <w:p w:rsidR="007F4EA5" w:rsidRDefault="007F4EA5" w:rsidP="007F4EA5">
      <w:r>
        <w:t>The TFI field identifies the TBF and is formatted in the same position as in current EGPRS RLC/MAC Headers to provide backwards compatibility.</w:t>
      </w:r>
    </w:p>
    <w:p w:rsidR="007F4EA5" w:rsidRDefault="007F4EA5" w:rsidP="007F4EA5">
      <w:r>
        <w:t>The TFI field is 5 bits long and hence can simultaneously address up to 32 devices multiplexed on the same resources. Due to the amount of devices expected in future CIoT scenarios, it can be considered to expand the TFI field beyond 5 bits, which in that case will be catered for by any number of spare bits indicated in</w:t>
      </w:r>
      <w:r w:rsidR="008A5F2D">
        <w:t xml:space="preserve"> </w:t>
      </w:r>
      <w:r w:rsidR="008A5F2D">
        <w:fldChar w:fldCharType="begin"/>
      </w:r>
      <w:r w:rsidR="008A5F2D">
        <w:instrText xml:space="preserve"> REF _Ref410171101 \h </w:instrText>
      </w:r>
      <w:r w:rsidR="008A5F2D">
        <w:fldChar w:fldCharType="separate"/>
      </w:r>
      <w:r w:rsidR="008A5F2D">
        <w:t xml:space="preserve">Figure </w:t>
      </w:r>
      <w:r w:rsidR="008A5F2D">
        <w:rPr>
          <w:noProof/>
        </w:rPr>
        <w:t>2</w:t>
      </w:r>
      <w:r w:rsidR="008A5F2D">
        <w:fldChar w:fldCharType="end"/>
      </w:r>
      <w:r>
        <w:t xml:space="preserve">. Alternatively the TFI can be expanded by bit-wise modulo two </w:t>
      </w:r>
      <w:proofErr w:type="gramStart"/>
      <w:r>
        <w:t>addition</w:t>
      </w:r>
      <w:proofErr w:type="gramEnd"/>
      <w:r>
        <w:t xml:space="preserve"> of the extended TFI bits to the header parity bits, as currently supported by DLMC configurations.</w:t>
      </w:r>
    </w:p>
    <w:p w:rsidR="007F4EA5" w:rsidRDefault="007F4EA5" w:rsidP="00BF01C5">
      <w:pPr>
        <w:pStyle w:val="Heading3"/>
      </w:pPr>
      <w:r>
        <w:t>Polling (P)</w:t>
      </w:r>
    </w:p>
    <w:p w:rsidR="007F4EA5" w:rsidRDefault="007F4EA5" w:rsidP="00BF01C5">
      <w:pPr>
        <w:pStyle w:val="BodyText"/>
      </w:pPr>
      <w:r>
        <w:t xml:space="preserve">In EGPRS, the RRBP field (2 bits) and the ES/P field (2 bits) is used when polling the </w:t>
      </w:r>
      <w:proofErr w:type="spellStart"/>
      <w:r>
        <w:t>MS.The</w:t>
      </w:r>
      <w:proofErr w:type="spellEnd"/>
      <w:r>
        <w:t xml:space="preserve"> current ES/P field indicates whether the MS addressed by the DL block is polled, and the type of bitmap (First Partial Bitmap, or Next Partial Bitmap) expected, as well as a request to include a measurement report in the </w:t>
      </w:r>
      <w:proofErr w:type="spellStart"/>
      <w:r>
        <w:t>response.The</w:t>
      </w:r>
      <w:proofErr w:type="spellEnd"/>
      <w:r>
        <w:t xml:space="preserve"> current RRBP indicates the resources reserved for the UL response in case the ES/P is valid.</w:t>
      </w:r>
    </w:p>
    <w:p w:rsidR="007F4EA5" w:rsidRDefault="007F4EA5" w:rsidP="00BF01C5">
      <w:pPr>
        <w:pStyle w:val="BodyText"/>
      </w:pPr>
      <w:r>
        <w:t>For CIoT devices it is assumed:</w:t>
      </w:r>
    </w:p>
    <w:p w:rsidR="008A5F2D" w:rsidRDefault="007F4EA5" w:rsidP="008A5F2D">
      <w:pPr>
        <w:pStyle w:val="BodyText"/>
        <w:numPr>
          <w:ilvl w:val="0"/>
          <w:numId w:val="29"/>
        </w:numPr>
      </w:pPr>
      <w:r>
        <w:t>A few response times from the CIoT device could be useful to support</w:t>
      </w:r>
    </w:p>
    <w:p w:rsidR="007F4EA5" w:rsidRDefault="007F4EA5" w:rsidP="008A5F2D">
      <w:pPr>
        <w:pStyle w:val="BodyText"/>
        <w:numPr>
          <w:ilvl w:val="0"/>
          <w:numId w:val="29"/>
        </w:numPr>
      </w:pPr>
      <w:r>
        <w:t>Due to the small RLC WS of 16, the full bitmap, as well as a full measurement report, can always be included.</w:t>
      </w:r>
    </w:p>
    <w:p w:rsidR="007F4EA5" w:rsidRDefault="007F4EA5" w:rsidP="00BF01C5">
      <w:pPr>
        <w:pStyle w:val="BodyText"/>
      </w:pPr>
      <w:r>
        <w:t xml:space="preserve"> Hence a polling field (P) of two bits should be able to cater for this purpose.</w:t>
      </w:r>
    </w:p>
    <w:p w:rsidR="007F4EA5" w:rsidRDefault="007F4EA5" w:rsidP="00BF01C5">
      <w:pPr>
        <w:pStyle w:val="Heading3"/>
      </w:pPr>
      <w:r>
        <w:lastRenderedPageBreak/>
        <w:t>Block Sequence Number (BSN)</w:t>
      </w:r>
    </w:p>
    <w:p w:rsidR="007F4EA5" w:rsidRDefault="007F4EA5" w:rsidP="00BF01C5">
      <w:pPr>
        <w:pStyle w:val="BodyText"/>
      </w:pPr>
      <w:r>
        <w:t>Due to the reduction of the EGPRS WS from at most 1024 to 16 the BSN field is consequently reduced from 11 bits to 5 bits.</w:t>
      </w:r>
    </w:p>
    <w:p w:rsidR="007F4EA5" w:rsidRDefault="007F4EA5" w:rsidP="00BF01C5">
      <w:pPr>
        <w:pStyle w:val="Heading3"/>
      </w:pPr>
      <w:r>
        <w:t>Coverage Class (CC)</w:t>
      </w:r>
    </w:p>
    <w:p w:rsidR="007F4EA5" w:rsidRDefault="007F4EA5" w:rsidP="00BF01C5">
      <w:pPr>
        <w:pStyle w:val="BodyText"/>
      </w:pPr>
      <w:r>
        <w:t xml:space="preserve">A 2-bit field is included to signal the coverage class used in the block. </w:t>
      </w:r>
    </w:p>
    <w:p w:rsidR="007F4EA5" w:rsidRDefault="007F4EA5" w:rsidP="00BF01C5">
      <w:pPr>
        <w:pStyle w:val="BodyText"/>
      </w:pPr>
      <w:r>
        <w:t>Due to the repetition of multiple instances of the same DL block, and due to the fact that a lower coverage class is always a partial mapping of a higher coverage class, see</w:t>
      </w:r>
      <w:r w:rsidR="008A5F2D">
        <w:t xml:space="preserve"> </w:t>
      </w:r>
      <w:r w:rsidR="008A5F2D">
        <w:fldChar w:fldCharType="begin"/>
      </w:r>
      <w:r w:rsidR="008A5F2D">
        <w:instrText xml:space="preserve"> REF _Ref410171318 \r \h  \* MERGEFORMAT </w:instrText>
      </w:r>
      <w:r w:rsidR="008A5F2D">
        <w:fldChar w:fldCharType="separate"/>
      </w:r>
      <w:r w:rsidR="008A5F2D">
        <w:t>[4]</w:t>
      </w:r>
      <w:r w:rsidR="008A5F2D">
        <w:fldChar w:fldCharType="end"/>
      </w:r>
      <w:r>
        <w:t>, the CC indication can be used by the lower coverage class CIoT devices monitoring the DL physical channel, i.e. in case CC indicates a higher coverage class, then the lower coverage class devices, need not monitor the rest of the repetition period.</w:t>
      </w:r>
    </w:p>
    <w:p w:rsidR="007F4EA5" w:rsidRDefault="007F4EA5" w:rsidP="00BF01C5">
      <w:pPr>
        <w:pStyle w:val="BodyText"/>
      </w:pPr>
      <w:r>
        <w:t>For example, a device in CC1 monitors the DL, decodes the RLC/MAC header on TS0, with an indication that CC5 is used. It need then not to process the DL blocks on TS1,2,3 since a CC5 block will always be mapped onto TS0,1,2,3 in the same TTI, and can stop monitoring the second TTI period, see</w:t>
      </w:r>
      <w:r w:rsidR="008A5F2D">
        <w:t xml:space="preserve"> </w:t>
      </w:r>
      <w:r w:rsidR="008A5F2D">
        <w:fldChar w:fldCharType="begin"/>
      </w:r>
      <w:r w:rsidR="008A5F2D">
        <w:instrText xml:space="preserve"> REF _Ref410171318 \r \h  \* MERGEFORMAT </w:instrText>
      </w:r>
      <w:r w:rsidR="008A5F2D">
        <w:fldChar w:fldCharType="separate"/>
      </w:r>
      <w:r w:rsidR="008A5F2D">
        <w:t>[4]</w:t>
      </w:r>
      <w:r w:rsidR="008A5F2D">
        <w:fldChar w:fldCharType="end"/>
      </w:r>
      <w:r>
        <w:t>.</w:t>
      </w:r>
    </w:p>
    <w:p w:rsidR="007F4EA5" w:rsidRDefault="007F4EA5" w:rsidP="008A5F2D">
      <w:pPr>
        <w:pStyle w:val="Heading3"/>
      </w:pPr>
      <w:r>
        <w:t xml:space="preserve">Coding and Puncturing Scheme (CPS), Uplink State Flag (USF), Split Block (SPB), Stalling Indicator (SI), Retry (R) </w:t>
      </w:r>
    </w:p>
    <w:p w:rsidR="007F4EA5" w:rsidRDefault="007F4EA5" w:rsidP="00BF01C5">
      <w:pPr>
        <w:pStyle w:val="BodyText"/>
      </w:pPr>
      <w:r>
        <w:t xml:space="preserve">The CPS, USF, SPB, SI and R fields are defined as in current GSM operation, see </w:t>
      </w:r>
      <w:proofErr w:type="spellStart"/>
      <w:r>
        <w:t>subclause</w:t>
      </w:r>
      <w:proofErr w:type="spellEnd"/>
      <w:r>
        <w:t xml:space="preserve"> 10.4 in</w:t>
      </w:r>
      <w:r w:rsidR="008A5F2D">
        <w:t xml:space="preserve"> </w:t>
      </w:r>
      <w:r w:rsidR="008A5F2D">
        <w:fldChar w:fldCharType="begin"/>
      </w:r>
      <w:r w:rsidR="008A5F2D">
        <w:instrText xml:space="preserve"> REF _Ref410129536 \r \h  \* MERGEFORMAT </w:instrText>
      </w:r>
      <w:r w:rsidR="008A5F2D">
        <w:fldChar w:fldCharType="separate"/>
      </w:r>
      <w:r w:rsidR="008A5F2D">
        <w:t>[2]</w:t>
      </w:r>
      <w:r w:rsidR="008A5F2D">
        <w:fldChar w:fldCharType="end"/>
      </w:r>
      <w:r>
        <w:t>.</w:t>
      </w:r>
    </w:p>
    <w:p w:rsidR="007F4EA5" w:rsidRDefault="007F4EA5" w:rsidP="008A5F2D">
      <w:pPr>
        <w:pStyle w:val="Heading3"/>
      </w:pPr>
      <w:r>
        <w:t>Countdown Value (CV)</w:t>
      </w:r>
    </w:p>
    <w:p w:rsidR="007F4EA5" w:rsidRDefault="007F4EA5" w:rsidP="00BF01C5">
      <w:pPr>
        <w:pStyle w:val="BodyText"/>
      </w:pPr>
      <w:r>
        <w:t xml:space="preserve">The Countdown Value in current GSM specification indicates the current number of remaining RLC data blocks for the uplink TBF. Similarly for CIoT devices, </w:t>
      </w:r>
      <w:proofErr w:type="gramStart"/>
      <w:r>
        <w:t>a functionality</w:t>
      </w:r>
      <w:proofErr w:type="gramEnd"/>
      <w:r>
        <w:t xml:space="preserve"> is foreseen to cater for an open ended TBF functionality. I.e. for the device to indicate that the initial RLC block count in the access request shall be extended.</w:t>
      </w:r>
    </w:p>
    <w:p w:rsidR="007F4EA5" w:rsidRDefault="007F4EA5" w:rsidP="008A5F2D">
      <w:pPr>
        <w:pStyle w:val="Heading3"/>
      </w:pPr>
      <w:r>
        <w:t>Spare bits</w:t>
      </w:r>
    </w:p>
    <w:p w:rsidR="007F4EA5" w:rsidRDefault="007F4EA5" w:rsidP="00BF01C5">
      <w:pPr>
        <w:pStyle w:val="BodyText"/>
      </w:pPr>
      <w:r>
        <w:t xml:space="preserve">In the RLC/MAC DL header, eight spare bits are defined for future use. The bits could for example cater for an extended TFI identifier space, as mentioned in </w:t>
      </w:r>
      <w:r w:rsidR="008A5F2D">
        <w:t xml:space="preserve">Section </w:t>
      </w:r>
      <w:r w:rsidR="008A5F2D">
        <w:fldChar w:fldCharType="begin"/>
      </w:r>
      <w:r w:rsidR="008A5F2D">
        <w:instrText xml:space="preserve"> REF _Ref410171447 \r \h  \* MERGEFORMAT </w:instrText>
      </w:r>
      <w:r w:rsidR="008A5F2D">
        <w:fldChar w:fldCharType="separate"/>
      </w:r>
      <w:r w:rsidR="008A5F2D">
        <w:t>3.1.1</w:t>
      </w:r>
      <w:r w:rsidR="008A5F2D">
        <w:fldChar w:fldCharType="end"/>
      </w:r>
      <w:r>
        <w:t>.</w:t>
      </w:r>
    </w:p>
    <w:p w:rsidR="007F4EA5" w:rsidRPr="007F4EA5" w:rsidRDefault="007F4EA5" w:rsidP="00BF01C5">
      <w:pPr>
        <w:pStyle w:val="BodyText"/>
      </w:pPr>
      <w:r>
        <w:t>In the RLC/MAC UL header, nine spare bits are defined for future use. Also for the UL, an extended TFI identifier space could be catered for</w:t>
      </w:r>
      <w:r w:rsidR="008A5F2D">
        <w:t>.</w:t>
      </w:r>
    </w:p>
    <w:p w:rsidR="009C06D9" w:rsidRDefault="007C3A1E" w:rsidP="00A12F06">
      <w:pPr>
        <w:pStyle w:val="Heading1"/>
      </w:pPr>
      <w:r>
        <w:t>Conclusions</w:t>
      </w:r>
    </w:p>
    <w:p w:rsidR="00870030" w:rsidRDefault="00A53A17" w:rsidP="00642E6B">
      <w:pPr>
        <w:pStyle w:val="BodyText"/>
      </w:pPr>
      <w:r>
        <w:t xml:space="preserve">Based on </w:t>
      </w:r>
      <w:r w:rsidR="00BD54FE">
        <w:t xml:space="preserve">the review of general RLC procedures for GSM devices that following is proposed to be applicable to EC-GSM devices: </w:t>
      </w:r>
    </w:p>
    <w:p w:rsidR="00BD54FE" w:rsidRPr="00BD54FE" w:rsidRDefault="00BD54FE" w:rsidP="00BD267B">
      <w:pPr>
        <w:pStyle w:val="BodyText"/>
        <w:numPr>
          <w:ilvl w:val="0"/>
          <w:numId w:val="25"/>
        </w:numPr>
        <w:spacing w:before="120" w:line="240" w:lineRule="auto"/>
        <w:ind w:left="714" w:hanging="357"/>
      </w:pPr>
      <w:r w:rsidRPr="00361ADD">
        <w:rPr>
          <w:b/>
        </w:rPr>
        <w:t>Only RLC Acknowledged mode is supported</w:t>
      </w:r>
    </w:p>
    <w:p w:rsidR="00BD54FE" w:rsidRPr="00BD267B" w:rsidRDefault="00BD54FE" w:rsidP="00BD267B">
      <w:pPr>
        <w:pStyle w:val="BodyText"/>
        <w:numPr>
          <w:ilvl w:val="0"/>
          <w:numId w:val="25"/>
        </w:numPr>
        <w:spacing w:before="120" w:line="240" w:lineRule="auto"/>
        <w:ind w:left="714" w:hanging="357"/>
      </w:pPr>
      <w:r w:rsidRPr="00361ADD">
        <w:rPr>
          <w:b/>
        </w:rPr>
        <w:t xml:space="preserve">Only </w:t>
      </w:r>
      <w:r>
        <w:rPr>
          <w:b/>
        </w:rPr>
        <w:t>single TBF operation is supported</w:t>
      </w:r>
    </w:p>
    <w:p w:rsidR="00BD267B" w:rsidRPr="00BD267B" w:rsidRDefault="00BD267B" w:rsidP="00BD267B">
      <w:pPr>
        <w:pStyle w:val="ListParagraph"/>
        <w:numPr>
          <w:ilvl w:val="0"/>
          <w:numId w:val="25"/>
        </w:numPr>
        <w:spacing w:before="120" w:line="360" w:lineRule="auto"/>
        <w:ind w:left="714" w:hanging="357"/>
        <w:rPr>
          <w:b/>
          <w:bCs/>
        </w:rPr>
      </w:pPr>
      <w:r w:rsidRPr="00BD267B">
        <w:rPr>
          <w:b/>
          <w:bCs/>
        </w:rPr>
        <w:t>Enhanced Multiplexing for Single TBF (EMST)</w:t>
      </w:r>
      <w:r w:rsidRPr="00BD267B">
        <w:rPr>
          <w:b/>
        </w:rPr>
        <w:t xml:space="preserve"> is not supported</w:t>
      </w:r>
    </w:p>
    <w:p w:rsidR="00BD267B" w:rsidRPr="00BD267B" w:rsidRDefault="00BD267B" w:rsidP="00BD267B">
      <w:pPr>
        <w:pStyle w:val="ListParagraph"/>
        <w:numPr>
          <w:ilvl w:val="0"/>
          <w:numId w:val="25"/>
        </w:numPr>
        <w:spacing w:before="120" w:line="240" w:lineRule="auto"/>
        <w:ind w:left="714" w:hanging="357"/>
        <w:rPr>
          <w:b/>
          <w:bCs/>
        </w:rPr>
      </w:pPr>
      <w:r w:rsidRPr="00BD267B">
        <w:rPr>
          <w:b/>
          <w:bCs/>
        </w:rPr>
        <w:t>Enhanced Multiplexing for Single RLC Entity (</w:t>
      </w:r>
      <w:r w:rsidRPr="00BD267B">
        <w:rPr>
          <w:b/>
        </w:rPr>
        <w:t xml:space="preserve">EMSR) is not supported. </w:t>
      </w:r>
    </w:p>
    <w:p w:rsidR="00BD267B" w:rsidRDefault="00BD267B" w:rsidP="00BD267B">
      <w:pPr>
        <w:pStyle w:val="BodyText"/>
        <w:numPr>
          <w:ilvl w:val="0"/>
          <w:numId w:val="25"/>
        </w:numPr>
        <w:spacing w:before="120" w:line="240" w:lineRule="auto"/>
        <w:ind w:left="714" w:hanging="357"/>
      </w:pPr>
      <w:r>
        <w:rPr>
          <w:b/>
        </w:rPr>
        <w:lastRenderedPageBreak/>
        <w:t>Extended uplink TBF mode is not supported</w:t>
      </w:r>
    </w:p>
    <w:p w:rsidR="00BD267B" w:rsidRPr="00BD267B" w:rsidRDefault="00BD267B" w:rsidP="00BD267B">
      <w:pPr>
        <w:pStyle w:val="BodyText"/>
        <w:numPr>
          <w:ilvl w:val="0"/>
          <w:numId w:val="25"/>
        </w:numPr>
        <w:spacing w:before="120" w:line="240" w:lineRule="auto"/>
        <w:ind w:left="714" w:hanging="357"/>
      </w:pPr>
      <w:r w:rsidRPr="00E40765">
        <w:rPr>
          <w:b/>
          <w:color w:val="000000"/>
        </w:rPr>
        <w:t xml:space="preserve">Fast </w:t>
      </w:r>
      <w:proofErr w:type="spellStart"/>
      <w:r w:rsidRPr="00E40765">
        <w:rPr>
          <w:b/>
          <w:color w:val="000000"/>
        </w:rPr>
        <w:t>Ack</w:t>
      </w:r>
      <w:proofErr w:type="spellEnd"/>
      <w:r w:rsidRPr="00E40765">
        <w:rPr>
          <w:b/>
          <w:color w:val="000000"/>
        </w:rPr>
        <w:t>/</w:t>
      </w:r>
      <w:proofErr w:type="spellStart"/>
      <w:r w:rsidRPr="00E40765">
        <w:rPr>
          <w:b/>
          <w:color w:val="000000"/>
        </w:rPr>
        <w:t>Nack</w:t>
      </w:r>
      <w:proofErr w:type="spellEnd"/>
      <w:r w:rsidRPr="00E40765">
        <w:rPr>
          <w:b/>
          <w:color w:val="000000"/>
        </w:rPr>
        <w:t xml:space="preserve"> reporting procedure not supported</w:t>
      </w:r>
    </w:p>
    <w:p w:rsidR="009D152B" w:rsidRPr="009D152B" w:rsidRDefault="00BF01C5" w:rsidP="00BD267B">
      <w:pPr>
        <w:pStyle w:val="BodyText"/>
        <w:numPr>
          <w:ilvl w:val="0"/>
          <w:numId w:val="25"/>
        </w:numPr>
        <w:spacing w:before="120" w:line="240" w:lineRule="auto"/>
        <w:ind w:left="714" w:hanging="357"/>
        <w:rPr>
          <w:b/>
        </w:rPr>
      </w:pPr>
      <w:r w:rsidRPr="009D152B">
        <w:rPr>
          <w:b/>
          <w:color w:val="000000"/>
        </w:rPr>
        <w:t>A cellular IoT device shall support a RLC WS and RLC buffer size of 16</w:t>
      </w:r>
    </w:p>
    <w:p w:rsidR="00BF01C5" w:rsidRPr="003032F2" w:rsidRDefault="00BF01C5" w:rsidP="00BD267B">
      <w:pPr>
        <w:pStyle w:val="BodyText"/>
        <w:numPr>
          <w:ilvl w:val="0"/>
          <w:numId w:val="25"/>
        </w:numPr>
        <w:spacing w:before="120" w:line="240" w:lineRule="auto"/>
        <w:ind w:left="714" w:hanging="357"/>
        <w:rPr>
          <w:b/>
        </w:rPr>
      </w:pPr>
      <w:r w:rsidRPr="009D152B">
        <w:rPr>
          <w:b/>
        </w:rPr>
        <w:t xml:space="preserve">Compression of </w:t>
      </w:r>
      <w:proofErr w:type="spellStart"/>
      <w:r w:rsidRPr="009D152B">
        <w:rPr>
          <w:b/>
        </w:rPr>
        <w:t>Ack</w:t>
      </w:r>
      <w:proofErr w:type="spellEnd"/>
      <w:r w:rsidRPr="009D152B">
        <w:rPr>
          <w:b/>
        </w:rPr>
        <w:t>/</w:t>
      </w:r>
      <w:proofErr w:type="spellStart"/>
      <w:r w:rsidRPr="009D152B">
        <w:rPr>
          <w:b/>
        </w:rPr>
        <w:t>Nack</w:t>
      </w:r>
      <w:proofErr w:type="spellEnd"/>
      <w:r w:rsidRPr="009D152B">
        <w:rPr>
          <w:b/>
        </w:rPr>
        <w:t xml:space="preserve"> bitmaps are not supported</w:t>
      </w:r>
      <w:r w:rsidRPr="009D152B" w:rsidDel="00BF01C5">
        <w:rPr>
          <w:b/>
        </w:rPr>
        <w:t xml:space="preserve"> </w:t>
      </w:r>
    </w:p>
    <w:p w:rsidR="00BF01C5" w:rsidRPr="00BF01C5" w:rsidRDefault="00BF01C5" w:rsidP="009D152B">
      <w:pPr>
        <w:pStyle w:val="BodyText"/>
        <w:spacing w:before="120" w:line="240" w:lineRule="auto"/>
      </w:pPr>
    </w:p>
    <w:p w:rsidR="008A5F2D" w:rsidRPr="008A5F2D" w:rsidRDefault="008A5F2D" w:rsidP="00BF01C5">
      <w:pPr>
        <w:pStyle w:val="BodyText"/>
        <w:spacing w:before="120" w:line="240" w:lineRule="auto"/>
      </w:pPr>
      <w:r w:rsidRPr="00BF01C5">
        <w:t>A design of the RLC/MAC header has also been provided.</w:t>
      </w:r>
    </w:p>
    <w:p w:rsidR="008317F7" w:rsidRDefault="008317F7" w:rsidP="008317F7">
      <w:pPr>
        <w:pStyle w:val="Heading1"/>
      </w:pPr>
      <w:r>
        <w:t>References</w:t>
      </w:r>
    </w:p>
    <w:bookmarkStart w:id="3" w:name="_Ref397674406"/>
    <w:p w:rsidR="006B0C1C" w:rsidRDefault="008317F7" w:rsidP="007E0D26">
      <w:pPr>
        <w:pStyle w:val="Reference"/>
      </w:pPr>
      <w:r>
        <w:fldChar w:fldCharType="begin"/>
      </w:r>
      <w:r>
        <w:instrText xml:space="preserve"> HYPERLINK "ftp://www.3gpp.org/tsg_geran/TSG_GERAN/GERAN_62_Valencia/Docs/GP-140421.zip" </w:instrText>
      </w:r>
      <w:r>
        <w:fldChar w:fldCharType="separate"/>
      </w:r>
      <w:r>
        <w:rPr>
          <w:rStyle w:val="Hyperlink"/>
        </w:rPr>
        <w:t>GP-140421</w:t>
      </w:r>
      <w:r>
        <w:fldChar w:fldCharType="end"/>
      </w:r>
      <w:r>
        <w:t>, “</w:t>
      </w:r>
      <w:r w:rsidRPr="005D3FC4">
        <w:t>New Study Item on Cellular System Support for Ultra Low Complexity and Low Throughput Internet of Things (</w:t>
      </w:r>
      <w:proofErr w:type="spellStart"/>
      <w:r w:rsidRPr="005D3FC4">
        <w:t>FS_IoT_LC</w:t>
      </w:r>
      <w:proofErr w:type="spellEnd"/>
      <w:r w:rsidRPr="005D3FC4">
        <w:t>) (revision of GP-140418)</w:t>
      </w:r>
      <w:r>
        <w:t xml:space="preserve">”, source </w:t>
      </w:r>
      <w:r w:rsidRPr="001E1433">
        <w:rPr>
          <w:u w:val="single"/>
        </w:rPr>
        <w:t>VODAFONE</w:t>
      </w:r>
      <w:r w:rsidRPr="005D3FC4">
        <w:t xml:space="preserve"> Gro</w:t>
      </w:r>
      <w:bookmarkStart w:id="4" w:name="_GoBack"/>
      <w:bookmarkEnd w:id="4"/>
      <w:r w:rsidRPr="005D3FC4">
        <w:t>up Plc.</w:t>
      </w:r>
      <w:r>
        <w:t xml:space="preserve"> GERAN#62</w:t>
      </w:r>
      <w:bookmarkEnd w:id="3"/>
      <w:r>
        <w:t>.</w:t>
      </w:r>
    </w:p>
    <w:p w:rsidR="00ED79FC" w:rsidRPr="00ED79FC" w:rsidRDefault="00ED79FC" w:rsidP="00A85EEA">
      <w:pPr>
        <w:pStyle w:val="Reference"/>
      </w:pPr>
      <w:bookmarkStart w:id="5" w:name="_Ref410129536"/>
      <w:bookmarkStart w:id="6" w:name="_Ref410081430"/>
      <w:bookmarkStart w:id="7" w:name="_Ref409985205"/>
      <w:r>
        <w:t xml:space="preserve">3GPP TS 44.060: “GSM/EDGE Radio Access Network; </w:t>
      </w:r>
      <w:r w:rsidRPr="00C15AD1">
        <w:t>Radio Link Control / Medium Access Control (RLC/MAC) protocol</w:t>
      </w:r>
      <w:r>
        <w:t xml:space="preserve"> (v12.3.0)”</w:t>
      </w:r>
      <w:bookmarkEnd w:id="5"/>
    </w:p>
    <w:p w:rsidR="00CC24C5" w:rsidRDefault="00CC24C5" w:rsidP="00CC24C5">
      <w:pPr>
        <w:pStyle w:val="Reference"/>
      </w:pPr>
      <w:bookmarkStart w:id="8" w:name="_Ref410161030"/>
      <w:r>
        <w:t xml:space="preserve">3GPP TS 43.064: “GSM/EDGE Radio Access </w:t>
      </w:r>
      <w:proofErr w:type="spellStart"/>
      <w:r>
        <w:t>Network;General</w:t>
      </w:r>
      <w:proofErr w:type="spellEnd"/>
      <w:r>
        <w:t xml:space="preserve"> Packet Radio Service (GPRS);Overall description of the GPRS radio interface; Stage 2 (v12.1.0)</w:t>
      </w:r>
      <w:bookmarkEnd w:id="8"/>
    </w:p>
    <w:p w:rsidR="008A5F2D" w:rsidRPr="00246F56" w:rsidRDefault="008A5F2D" w:rsidP="00CC24C5">
      <w:pPr>
        <w:pStyle w:val="Reference"/>
        <w:rPr>
          <w:rFonts w:cstheme="minorHAnsi"/>
          <w:sz w:val="24"/>
        </w:rPr>
      </w:pPr>
      <w:bookmarkStart w:id="9" w:name="_Ref410171318"/>
      <w:r w:rsidRPr="00246F56">
        <w:rPr>
          <w:rFonts w:cstheme="minorHAnsi"/>
          <w:color w:val="000000"/>
          <w:szCs w:val="20"/>
        </w:rPr>
        <w:t>GP-150055, “</w:t>
      </w:r>
      <w:r w:rsidRPr="00246F56">
        <w:rPr>
          <w:rFonts w:cstheme="minorHAnsi"/>
          <w:szCs w:val="20"/>
        </w:rPr>
        <w:t>EC-GSM, Mapping of logical channels onto physical channels</w:t>
      </w:r>
      <w:r w:rsidRPr="00246F56">
        <w:rPr>
          <w:rFonts w:cstheme="minorHAnsi"/>
          <w:color w:val="000000"/>
          <w:szCs w:val="20"/>
        </w:rPr>
        <w:t xml:space="preserve">”, source Ericsson LM. GERAN Ad Hoc#1 on </w:t>
      </w:r>
      <w:proofErr w:type="spellStart"/>
      <w:r w:rsidRPr="00246F56">
        <w:rPr>
          <w:rFonts w:cstheme="minorHAnsi"/>
          <w:color w:val="000000"/>
          <w:szCs w:val="20"/>
        </w:rPr>
        <w:t>FS_IoT_LC</w:t>
      </w:r>
      <w:proofErr w:type="spellEnd"/>
      <w:r w:rsidRPr="00246F56">
        <w:rPr>
          <w:rFonts w:cstheme="minorHAnsi"/>
          <w:color w:val="000000"/>
          <w:szCs w:val="20"/>
        </w:rPr>
        <w:t>.</w:t>
      </w:r>
      <w:bookmarkEnd w:id="9"/>
    </w:p>
    <w:bookmarkEnd w:id="6"/>
    <w:bookmarkEnd w:id="7"/>
    <w:p w:rsidR="00423608" w:rsidRPr="00D4165F" w:rsidRDefault="00423608">
      <w:pPr>
        <w:pStyle w:val="Reference"/>
        <w:rPr>
          <w:rFonts w:cstheme="minorHAnsi"/>
        </w:rPr>
      </w:pPr>
      <w:r w:rsidRPr="00D4165F">
        <w:rPr>
          <w:rFonts w:cstheme="minorHAnsi"/>
        </w:rPr>
        <w:t xml:space="preserve">GPC150009, </w:t>
      </w:r>
      <w:proofErr w:type="gramStart"/>
      <w:r w:rsidRPr="00D4165F">
        <w:rPr>
          <w:rFonts w:cstheme="minorHAnsi"/>
        </w:rPr>
        <w:t>3GPP TR 45.820 V0.3.0 (2015-03)</w:t>
      </w:r>
      <w:proofErr w:type="gramEnd"/>
      <w:r w:rsidRPr="00D4165F">
        <w:rPr>
          <w:rFonts w:cstheme="minorHAnsi"/>
        </w:rPr>
        <w:t xml:space="preserve">, Source Vodafone, </w:t>
      </w:r>
      <w:r w:rsidRPr="00D4165F">
        <w:rPr>
          <w:rFonts w:cstheme="minorHAnsi"/>
          <w:color w:val="000000"/>
        </w:rPr>
        <w:t>GERAN</w:t>
      </w:r>
      <w:r w:rsidR="00246F56" w:rsidRPr="00D4165F">
        <w:rPr>
          <w:rFonts w:cstheme="minorHAnsi"/>
          <w:color w:val="000000"/>
        </w:rPr>
        <w:t xml:space="preserve"> </w:t>
      </w:r>
      <w:r w:rsidRPr="00D4165F">
        <w:rPr>
          <w:rFonts w:cstheme="minorHAnsi"/>
          <w:color w:val="000000"/>
        </w:rPr>
        <w:t xml:space="preserve">Ad Hoc#1 on </w:t>
      </w:r>
      <w:proofErr w:type="spellStart"/>
      <w:r w:rsidRPr="00D4165F">
        <w:rPr>
          <w:rFonts w:cstheme="minorHAnsi"/>
          <w:color w:val="000000"/>
        </w:rPr>
        <w:t>FS_IoT_LC</w:t>
      </w:r>
      <w:proofErr w:type="spellEnd"/>
      <w:r w:rsidRPr="00D4165F">
        <w:rPr>
          <w:rFonts w:cstheme="minorHAnsi"/>
          <w:color w:val="000000"/>
        </w:rPr>
        <w:t>.</w:t>
      </w:r>
    </w:p>
    <w:p w:rsidR="00C06DB8" w:rsidRPr="008317F7" w:rsidRDefault="00C06DB8" w:rsidP="00B83EA9">
      <w:pPr>
        <w:pStyle w:val="Reference"/>
        <w:numPr>
          <w:ilvl w:val="0"/>
          <w:numId w:val="0"/>
        </w:numPr>
      </w:pPr>
    </w:p>
    <w:sectPr w:rsidR="00C06DB8" w:rsidRPr="008317F7" w:rsidSect="002D4FA5">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095C" w:rsidRDefault="0042095C">
      <w:r>
        <w:separator/>
      </w:r>
    </w:p>
  </w:endnote>
  <w:endnote w:type="continuationSeparator" w:id="0">
    <w:p w:rsidR="0042095C" w:rsidRDefault="00420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Vodafone Rg">
    <w:altName w:val="Franklin Gothic Medium Cond"/>
    <w:charset w:val="00"/>
    <w:family w:val="swiss"/>
    <w:pitch w:val="variable"/>
    <w:sig w:usb0="00000001" w:usb1="4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Default="003E6F44">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D4165F">
      <w:rPr>
        <w:rStyle w:val="PageNumber"/>
        <w:noProof/>
      </w:rPr>
      <w:t>6</w:t>
    </w:r>
    <w:r>
      <w:rPr>
        <w:rStyle w:val="PageNumber"/>
      </w:rPr>
      <w:fldChar w:fldCharType="end"/>
    </w:r>
    <w:bookmarkStart w:id="10"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D4165F">
      <w:rPr>
        <w:rStyle w:val="PageNumber"/>
        <w:noProof/>
      </w:rPr>
      <w:t>6</w:t>
    </w:r>
    <w:r>
      <w:rPr>
        <w:rStyle w:val="PageNumber"/>
      </w:rPr>
      <w:fldChar w:fldCharType="end"/>
    </w:r>
    <w:r>
      <w:rPr>
        <w:rStyle w:val="PageNumber"/>
      </w:rPr>
      <w:t>)</w:t>
    </w:r>
    <w:bookmarkEnd w:id="10"/>
  </w:p>
  <w:p w:rsidR="003E6F44" w:rsidRDefault="003E6F4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Default="003E6F44">
    <w:pPr>
      <w:pStyle w:val="Footer"/>
      <w:jc w:val="center"/>
    </w:pPr>
    <w:r>
      <w:rPr>
        <w:rStyle w:val="PageNumber"/>
      </w:rPr>
      <w:fldChar w:fldCharType="begin"/>
    </w:r>
    <w:r>
      <w:rPr>
        <w:rStyle w:val="PageNumber"/>
      </w:rPr>
      <w:instrText xml:space="preserve"> PAGE </w:instrText>
    </w:r>
    <w:r>
      <w:rPr>
        <w:rStyle w:val="PageNumber"/>
      </w:rPr>
      <w:fldChar w:fldCharType="separate"/>
    </w:r>
    <w:r w:rsidR="00D4165F">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4165F">
      <w:rPr>
        <w:rStyle w:val="PageNumber"/>
        <w:noProof/>
      </w:rPr>
      <w:t>1</w:t>
    </w:r>
    <w:r>
      <w:rPr>
        <w:rStyle w:val="PageNumber"/>
      </w:rPr>
      <w:fldChar w:fldCharType="end"/>
    </w:r>
    <w:r>
      <w:rPr>
        <w:rStyle w:val="PageNumber"/>
      </w:rPr>
      <w:t>)</w:t>
    </w:r>
  </w:p>
  <w:p w:rsidR="003E6F44" w:rsidRDefault="003E6F4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095C" w:rsidRDefault="0042095C">
      <w:r>
        <w:separator/>
      </w:r>
    </w:p>
  </w:footnote>
  <w:footnote w:type="continuationSeparator" w:id="0">
    <w:p w:rsidR="0042095C" w:rsidRDefault="004209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Pr="00D8307C" w:rsidRDefault="003E6F44" w:rsidP="00EA60C1">
    <w:pPr>
      <w:pStyle w:val="Header"/>
    </w:pPr>
    <w:r w:rsidRPr="00D8307C">
      <w:t xml:space="preserve">3GPP TSG GERAN Ad Hoc#1 on </w:t>
    </w:r>
    <w:proofErr w:type="spellStart"/>
    <w:r w:rsidRPr="00D8307C">
      <w:t>FS_IoT_LC</w:t>
    </w:r>
    <w:proofErr w:type="spellEnd"/>
    <w:r w:rsidRPr="00D8307C">
      <w:tab/>
    </w:r>
    <w:r w:rsidRPr="00D8307C">
      <w:tab/>
    </w:r>
    <w:proofErr w:type="spellStart"/>
    <w:r w:rsidRPr="00D8307C">
      <w:t>Tdoc</w:t>
    </w:r>
    <w:proofErr w:type="spellEnd"/>
    <w:r w:rsidR="00BD267B" w:rsidRPr="00BD267B">
      <w:rPr>
        <w:rFonts w:ascii="Arial" w:hAnsi="Arial" w:cs="Arial"/>
        <w:color w:val="000000"/>
        <w:sz w:val="20"/>
        <w:szCs w:val="20"/>
      </w:rPr>
      <w:t xml:space="preserve"> </w:t>
    </w:r>
    <w:r w:rsidR="00BD267B">
      <w:rPr>
        <w:rFonts w:ascii="Arial" w:hAnsi="Arial" w:cs="Arial"/>
        <w:color w:val="000000"/>
        <w:sz w:val="20"/>
        <w:szCs w:val="20"/>
      </w:rPr>
      <w:t>GPC150083</w:t>
    </w:r>
  </w:p>
  <w:p w:rsidR="003E6F44" w:rsidRPr="00D8307C" w:rsidRDefault="003E6F4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Pr="008317F7" w:rsidRDefault="003E6F44" w:rsidP="0015360B">
    <w:pPr>
      <w:pStyle w:val="Header"/>
      <w:spacing w:after="0"/>
    </w:pPr>
    <w:r w:rsidRPr="008317F7">
      <w:t xml:space="preserve">3GPP TSG GERAN Ad Hoc#1 on </w:t>
    </w:r>
    <w:proofErr w:type="spellStart"/>
    <w:r w:rsidRPr="008317F7">
      <w:t>FS_IoT_LC</w:t>
    </w:r>
    <w:proofErr w:type="spellEnd"/>
    <w:r w:rsidRPr="008317F7">
      <w:tab/>
    </w:r>
    <w:r w:rsidRPr="008317F7">
      <w:tab/>
    </w:r>
    <w:proofErr w:type="spellStart"/>
    <w:r w:rsidRPr="008317F7">
      <w:t>Tdoc</w:t>
    </w:r>
    <w:proofErr w:type="spellEnd"/>
    <w:r w:rsidRPr="008317F7">
      <w:t xml:space="preserve"> </w:t>
    </w:r>
    <w:r w:rsidR="00BD267B">
      <w:rPr>
        <w:rFonts w:ascii="Arial" w:hAnsi="Arial" w:cs="Arial"/>
        <w:color w:val="000000"/>
        <w:sz w:val="20"/>
        <w:szCs w:val="20"/>
      </w:rPr>
      <w:t>GPC150083</w:t>
    </w:r>
  </w:p>
  <w:p w:rsidR="003E6F44" w:rsidRPr="00F171F5" w:rsidRDefault="003E6F44" w:rsidP="0015360B">
    <w:pPr>
      <w:pStyle w:val="Header"/>
      <w:spacing w:after="0"/>
      <w:rPr>
        <w:lang w:val="it-IT"/>
      </w:rPr>
    </w:pPr>
    <w:r>
      <w:rPr>
        <w:lang w:val="it-IT"/>
      </w:rPr>
      <w:t>Sofia Antipolis, France</w:t>
    </w:r>
    <w:r w:rsidRPr="00F171F5">
      <w:rPr>
        <w:lang w:val="it-IT"/>
      </w:rPr>
      <w:tab/>
    </w:r>
    <w:r w:rsidRPr="00F171F5">
      <w:rPr>
        <w:lang w:val="it-IT"/>
      </w:rPr>
      <w:tab/>
      <w:t xml:space="preserve">Agenda item </w:t>
    </w:r>
    <w:r w:rsidR="00A535FB">
      <w:rPr>
        <w:lang w:val="it-IT"/>
      </w:rPr>
      <w:t>2.4.4</w:t>
    </w:r>
  </w:p>
  <w:p w:rsidR="003E6F44" w:rsidRPr="00454B41" w:rsidRDefault="003E6F44" w:rsidP="00454B41">
    <w:pPr>
      <w:pStyle w:val="Header"/>
      <w:spacing w:after="0"/>
      <w:rPr>
        <w:snapToGrid w:val="0"/>
      </w:rPr>
    </w:pPr>
    <w:r>
      <w:t>2</w:t>
    </w:r>
    <w:r w:rsidRPr="008317F7">
      <w:rPr>
        <w:vertAlign w:val="superscript"/>
      </w:rPr>
      <w:t>nd</w:t>
    </w:r>
    <w:r>
      <w:t xml:space="preserve"> </w:t>
    </w:r>
    <w:r w:rsidRPr="00264773">
      <w:t xml:space="preserve">– </w:t>
    </w:r>
    <w:r>
      <w:t>5</w:t>
    </w:r>
    <w:r w:rsidRPr="00B74E2C">
      <w:rPr>
        <w:vertAlign w:val="superscript"/>
      </w:rPr>
      <w:t>th</w:t>
    </w:r>
    <w:r>
      <w:t xml:space="preserve"> February</w:t>
    </w:r>
    <w:r w:rsidRPr="00264773">
      <w:t xml:space="preserve">, </w:t>
    </w:r>
    <w:r>
      <w:t>2015</w:t>
    </w:r>
    <w:r w:rsidRPr="00264773">
      <w:br/>
    </w:r>
    <w:bookmarkStart w:id="11" w:name="_Ref515183447"/>
    <w:bookmarkEnd w:id="11"/>
    <w:r w:rsidRPr="00264773">
      <w:t xml:space="preserve">Source: </w:t>
    </w:r>
    <w:r>
      <w:t>Ericsson</w:t>
    </w:r>
    <w:r w:rsidR="00A535FB">
      <w:t xml:space="preserve">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7556F90"/>
    <w:multiLevelType w:val="hybridMultilevel"/>
    <w:tmpl w:val="81BEC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AF781C"/>
    <w:multiLevelType w:val="hybridMultilevel"/>
    <w:tmpl w:val="2EDABE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nsid w:val="16FC70CC"/>
    <w:multiLevelType w:val="hybridMultilevel"/>
    <w:tmpl w:val="35183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5A3680"/>
    <w:multiLevelType w:val="hybridMultilevel"/>
    <w:tmpl w:val="16680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2">
    <w:nsid w:val="2DAC60D0"/>
    <w:multiLevelType w:val="hybridMultilevel"/>
    <w:tmpl w:val="7AFC7BAC"/>
    <w:lvl w:ilvl="0" w:tplc="954629D8">
      <w:numFmt w:val="none"/>
      <w:lvlText w:val="·"/>
      <w:lvlJc w:val="left"/>
      <w:pPr>
        <w:ind w:left="840" w:hanging="420"/>
      </w:pPr>
      <w:rPr>
        <w:rFonts w:ascii="Symbol" w:hAnsi="Symbol" w:hint="default"/>
        <w:sz w:val="24"/>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1177D0"/>
    <w:multiLevelType w:val="hybridMultilevel"/>
    <w:tmpl w:val="E7E4AF88"/>
    <w:lvl w:ilvl="0" w:tplc="FFFFFFFF">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747632D"/>
    <w:multiLevelType w:val="hybridMultilevel"/>
    <w:tmpl w:val="046CF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386DE0"/>
    <w:multiLevelType w:val="hybridMultilevel"/>
    <w:tmpl w:val="0124F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A335D81"/>
    <w:multiLevelType w:val="hybridMultilevel"/>
    <w:tmpl w:val="C3AC0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nsid w:val="4C7444CE"/>
    <w:multiLevelType w:val="hybridMultilevel"/>
    <w:tmpl w:val="BCA22012"/>
    <w:lvl w:ilvl="0" w:tplc="758879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22"/>
  </w:num>
  <w:num w:numId="7">
    <w:abstractNumId w:val="11"/>
  </w:num>
  <w:num w:numId="8">
    <w:abstractNumId w:val="19"/>
  </w:num>
  <w:num w:numId="9">
    <w:abstractNumId w:val="24"/>
  </w:num>
  <w:num w:numId="10">
    <w:abstractNumId w:val="27"/>
  </w:num>
  <w:num w:numId="11">
    <w:abstractNumId w:val="14"/>
  </w:num>
  <w:num w:numId="12">
    <w:abstractNumId w:val="13"/>
  </w:num>
  <w:num w:numId="13">
    <w:abstractNumId w:val="0"/>
  </w:num>
  <w:num w:numId="14">
    <w:abstractNumId w:val="28"/>
  </w:num>
  <w:num w:numId="15">
    <w:abstractNumId w:val="26"/>
  </w:num>
  <w:num w:numId="16">
    <w:abstractNumId w:val="9"/>
  </w:num>
  <w:num w:numId="17">
    <w:abstractNumId w:val="20"/>
  </w:num>
  <w:num w:numId="18">
    <w:abstractNumId w:val="25"/>
  </w:num>
  <w:num w:numId="19">
    <w:abstractNumId w:val="18"/>
  </w:num>
  <w:num w:numId="20">
    <w:abstractNumId w:val="7"/>
  </w:num>
  <w:num w:numId="21">
    <w:abstractNumId w:val="15"/>
  </w:num>
  <w:num w:numId="22">
    <w:abstractNumId w:val="12"/>
  </w:num>
  <w:num w:numId="23">
    <w:abstractNumId w:val="17"/>
  </w:num>
  <w:num w:numId="24">
    <w:abstractNumId w:val="21"/>
  </w:num>
  <w:num w:numId="25">
    <w:abstractNumId w:val="16"/>
  </w:num>
  <w:num w:numId="26">
    <w:abstractNumId w:val="8"/>
  </w:num>
  <w:num w:numId="27">
    <w:abstractNumId w:val="23"/>
  </w:num>
  <w:num w:numId="28">
    <w:abstractNumId w:val="6"/>
  </w:num>
  <w:num w:numId="29">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3054"/>
    <w:rsid w:val="000140A6"/>
    <w:rsid w:val="00014BB0"/>
    <w:rsid w:val="00015C59"/>
    <w:rsid w:val="00015D3A"/>
    <w:rsid w:val="00016C26"/>
    <w:rsid w:val="00016FFB"/>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27EF1"/>
    <w:rsid w:val="00032747"/>
    <w:rsid w:val="00036EE4"/>
    <w:rsid w:val="00036FBD"/>
    <w:rsid w:val="0004021D"/>
    <w:rsid w:val="000432B9"/>
    <w:rsid w:val="000476F1"/>
    <w:rsid w:val="000505E7"/>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CF2"/>
    <w:rsid w:val="00084072"/>
    <w:rsid w:val="00084917"/>
    <w:rsid w:val="00085559"/>
    <w:rsid w:val="00085B0D"/>
    <w:rsid w:val="00085F02"/>
    <w:rsid w:val="0008658A"/>
    <w:rsid w:val="000865DB"/>
    <w:rsid w:val="00087BE7"/>
    <w:rsid w:val="00087CA3"/>
    <w:rsid w:val="00090398"/>
    <w:rsid w:val="00091E68"/>
    <w:rsid w:val="0009208C"/>
    <w:rsid w:val="000976AC"/>
    <w:rsid w:val="000A107F"/>
    <w:rsid w:val="000A2AF0"/>
    <w:rsid w:val="000A308B"/>
    <w:rsid w:val="000A4168"/>
    <w:rsid w:val="000A614E"/>
    <w:rsid w:val="000A764B"/>
    <w:rsid w:val="000A7BFE"/>
    <w:rsid w:val="000B0822"/>
    <w:rsid w:val="000B0D3D"/>
    <w:rsid w:val="000B39FB"/>
    <w:rsid w:val="000B3D19"/>
    <w:rsid w:val="000B480F"/>
    <w:rsid w:val="000B4A93"/>
    <w:rsid w:val="000B4CA8"/>
    <w:rsid w:val="000B5647"/>
    <w:rsid w:val="000B60B6"/>
    <w:rsid w:val="000B62EB"/>
    <w:rsid w:val="000B74A0"/>
    <w:rsid w:val="000B7B7A"/>
    <w:rsid w:val="000C01CF"/>
    <w:rsid w:val="000C0EF3"/>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009"/>
    <w:rsid w:val="000D63EA"/>
    <w:rsid w:val="000D68A1"/>
    <w:rsid w:val="000D6A70"/>
    <w:rsid w:val="000D7C96"/>
    <w:rsid w:val="000D7EFF"/>
    <w:rsid w:val="000E0287"/>
    <w:rsid w:val="000E4DE7"/>
    <w:rsid w:val="000E52B9"/>
    <w:rsid w:val="000E7150"/>
    <w:rsid w:val="000E7410"/>
    <w:rsid w:val="000E7B3A"/>
    <w:rsid w:val="000F28EE"/>
    <w:rsid w:val="000F4D16"/>
    <w:rsid w:val="000F56BC"/>
    <w:rsid w:val="000F57C1"/>
    <w:rsid w:val="000F788A"/>
    <w:rsid w:val="00100EDF"/>
    <w:rsid w:val="00101EDB"/>
    <w:rsid w:val="0010266B"/>
    <w:rsid w:val="00102A08"/>
    <w:rsid w:val="001038AA"/>
    <w:rsid w:val="001043EF"/>
    <w:rsid w:val="0010477A"/>
    <w:rsid w:val="001048D7"/>
    <w:rsid w:val="00104E41"/>
    <w:rsid w:val="00105050"/>
    <w:rsid w:val="00105E9B"/>
    <w:rsid w:val="00106E10"/>
    <w:rsid w:val="001116D8"/>
    <w:rsid w:val="00111AD5"/>
    <w:rsid w:val="001132C2"/>
    <w:rsid w:val="001135EA"/>
    <w:rsid w:val="001145B1"/>
    <w:rsid w:val="001158B9"/>
    <w:rsid w:val="0011683C"/>
    <w:rsid w:val="00116F55"/>
    <w:rsid w:val="001200D6"/>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14BA"/>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3CAC"/>
    <w:rsid w:val="00163E27"/>
    <w:rsid w:val="0016449D"/>
    <w:rsid w:val="001648B6"/>
    <w:rsid w:val="00164B61"/>
    <w:rsid w:val="00164E81"/>
    <w:rsid w:val="00164FE3"/>
    <w:rsid w:val="001650C3"/>
    <w:rsid w:val="001716BD"/>
    <w:rsid w:val="0017195E"/>
    <w:rsid w:val="00171CAF"/>
    <w:rsid w:val="00171E47"/>
    <w:rsid w:val="00172562"/>
    <w:rsid w:val="00173B04"/>
    <w:rsid w:val="00173BF5"/>
    <w:rsid w:val="00174A53"/>
    <w:rsid w:val="00175A90"/>
    <w:rsid w:val="00176520"/>
    <w:rsid w:val="00176DD7"/>
    <w:rsid w:val="00177B39"/>
    <w:rsid w:val="00177B4F"/>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31E6"/>
    <w:rsid w:val="001A6351"/>
    <w:rsid w:val="001A68ED"/>
    <w:rsid w:val="001A74BA"/>
    <w:rsid w:val="001B033B"/>
    <w:rsid w:val="001B11C2"/>
    <w:rsid w:val="001B1402"/>
    <w:rsid w:val="001B17B1"/>
    <w:rsid w:val="001B1A12"/>
    <w:rsid w:val="001B4E2B"/>
    <w:rsid w:val="001B68ED"/>
    <w:rsid w:val="001B76B0"/>
    <w:rsid w:val="001C03F9"/>
    <w:rsid w:val="001C0F49"/>
    <w:rsid w:val="001C2F0C"/>
    <w:rsid w:val="001C34D8"/>
    <w:rsid w:val="001C4C18"/>
    <w:rsid w:val="001C51B3"/>
    <w:rsid w:val="001C6D9D"/>
    <w:rsid w:val="001C76E9"/>
    <w:rsid w:val="001D01D4"/>
    <w:rsid w:val="001D0409"/>
    <w:rsid w:val="001D18E1"/>
    <w:rsid w:val="001D1BBC"/>
    <w:rsid w:val="001D2665"/>
    <w:rsid w:val="001D26AD"/>
    <w:rsid w:val="001D38B9"/>
    <w:rsid w:val="001D395A"/>
    <w:rsid w:val="001D49CD"/>
    <w:rsid w:val="001D6932"/>
    <w:rsid w:val="001D6B9A"/>
    <w:rsid w:val="001D7CFD"/>
    <w:rsid w:val="001D7F12"/>
    <w:rsid w:val="001E0C62"/>
    <w:rsid w:val="001E1017"/>
    <w:rsid w:val="001E1433"/>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70C"/>
    <w:rsid w:val="001F7CCA"/>
    <w:rsid w:val="00200091"/>
    <w:rsid w:val="002017AC"/>
    <w:rsid w:val="00201A32"/>
    <w:rsid w:val="0020296E"/>
    <w:rsid w:val="002039AF"/>
    <w:rsid w:val="00204B00"/>
    <w:rsid w:val="00205FC8"/>
    <w:rsid w:val="002062FE"/>
    <w:rsid w:val="0020665C"/>
    <w:rsid w:val="00206B48"/>
    <w:rsid w:val="0020716D"/>
    <w:rsid w:val="00210F30"/>
    <w:rsid w:val="00211DCC"/>
    <w:rsid w:val="00212200"/>
    <w:rsid w:val="002130B9"/>
    <w:rsid w:val="00214891"/>
    <w:rsid w:val="00216391"/>
    <w:rsid w:val="002163DA"/>
    <w:rsid w:val="002175C4"/>
    <w:rsid w:val="00217C4A"/>
    <w:rsid w:val="00220D2A"/>
    <w:rsid w:val="00222E59"/>
    <w:rsid w:val="00223B6C"/>
    <w:rsid w:val="00223BEE"/>
    <w:rsid w:val="00223DD7"/>
    <w:rsid w:val="0022497A"/>
    <w:rsid w:val="00225DB2"/>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6A42"/>
    <w:rsid w:val="00246F56"/>
    <w:rsid w:val="00247F04"/>
    <w:rsid w:val="00250390"/>
    <w:rsid w:val="0025122D"/>
    <w:rsid w:val="00251C4C"/>
    <w:rsid w:val="00252501"/>
    <w:rsid w:val="00252893"/>
    <w:rsid w:val="0025295A"/>
    <w:rsid w:val="00253287"/>
    <w:rsid w:val="00253A9A"/>
    <w:rsid w:val="00253ED7"/>
    <w:rsid w:val="002549FE"/>
    <w:rsid w:val="002559B1"/>
    <w:rsid w:val="00256007"/>
    <w:rsid w:val="00256299"/>
    <w:rsid w:val="002576BD"/>
    <w:rsid w:val="00257FBB"/>
    <w:rsid w:val="00261913"/>
    <w:rsid w:val="002621FD"/>
    <w:rsid w:val="002627A6"/>
    <w:rsid w:val="002628FE"/>
    <w:rsid w:val="002636EC"/>
    <w:rsid w:val="00264773"/>
    <w:rsid w:val="00264D9E"/>
    <w:rsid w:val="002654E0"/>
    <w:rsid w:val="00266544"/>
    <w:rsid w:val="00266778"/>
    <w:rsid w:val="0026749A"/>
    <w:rsid w:val="00267958"/>
    <w:rsid w:val="002708FE"/>
    <w:rsid w:val="00271C0B"/>
    <w:rsid w:val="00275A0A"/>
    <w:rsid w:val="00276C25"/>
    <w:rsid w:val="0027726F"/>
    <w:rsid w:val="00280D07"/>
    <w:rsid w:val="00282F72"/>
    <w:rsid w:val="00283416"/>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97D8D"/>
    <w:rsid w:val="002A00C8"/>
    <w:rsid w:val="002A0AE1"/>
    <w:rsid w:val="002A1B11"/>
    <w:rsid w:val="002A21A2"/>
    <w:rsid w:val="002A235E"/>
    <w:rsid w:val="002A2719"/>
    <w:rsid w:val="002A2D05"/>
    <w:rsid w:val="002A428F"/>
    <w:rsid w:val="002B111F"/>
    <w:rsid w:val="002B1B4D"/>
    <w:rsid w:val="002B20B6"/>
    <w:rsid w:val="002B2339"/>
    <w:rsid w:val="002B341F"/>
    <w:rsid w:val="002B6A64"/>
    <w:rsid w:val="002B7360"/>
    <w:rsid w:val="002C0170"/>
    <w:rsid w:val="002C0369"/>
    <w:rsid w:val="002C168B"/>
    <w:rsid w:val="002C20B2"/>
    <w:rsid w:val="002C3AC9"/>
    <w:rsid w:val="002C4D10"/>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517"/>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5D26"/>
    <w:rsid w:val="002F657F"/>
    <w:rsid w:val="002F69C2"/>
    <w:rsid w:val="002F6E90"/>
    <w:rsid w:val="002F7B4B"/>
    <w:rsid w:val="00300664"/>
    <w:rsid w:val="00302930"/>
    <w:rsid w:val="00302C82"/>
    <w:rsid w:val="00303147"/>
    <w:rsid w:val="003032F2"/>
    <w:rsid w:val="003040F0"/>
    <w:rsid w:val="003063A5"/>
    <w:rsid w:val="00306E60"/>
    <w:rsid w:val="00307D88"/>
    <w:rsid w:val="003107ED"/>
    <w:rsid w:val="003119CA"/>
    <w:rsid w:val="00312FC6"/>
    <w:rsid w:val="003134BB"/>
    <w:rsid w:val="00313A9F"/>
    <w:rsid w:val="00314275"/>
    <w:rsid w:val="00315D93"/>
    <w:rsid w:val="003232C4"/>
    <w:rsid w:val="00326141"/>
    <w:rsid w:val="00326F52"/>
    <w:rsid w:val="00327449"/>
    <w:rsid w:val="003278F5"/>
    <w:rsid w:val="00327E9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50A9"/>
    <w:rsid w:val="003468BC"/>
    <w:rsid w:val="00346C12"/>
    <w:rsid w:val="003500A7"/>
    <w:rsid w:val="00351194"/>
    <w:rsid w:val="00351BAD"/>
    <w:rsid w:val="00353745"/>
    <w:rsid w:val="003549E9"/>
    <w:rsid w:val="00354B87"/>
    <w:rsid w:val="0035554D"/>
    <w:rsid w:val="003555FA"/>
    <w:rsid w:val="00356ED2"/>
    <w:rsid w:val="0036004E"/>
    <w:rsid w:val="00360675"/>
    <w:rsid w:val="00360C7D"/>
    <w:rsid w:val="00360E32"/>
    <w:rsid w:val="0036197A"/>
    <w:rsid w:val="00361ADD"/>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77573"/>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30C9"/>
    <w:rsid w:val="003947B3"/>
    <w:rsid w:val="00395294"/>
    <w:rsid w:val="00396525"/>
    <w:rsid w:val="003966BD"/>
    <w:rsid w:val="003967A4"/>
    <w:rsid w:val="003967AD"/>
    <w:rsid w:val="00396F63"/>
    <w:rsid w:val="00397823"/>
    <w:rsid w:val="00397C15"/>
    <w:rsid w:val="003A027F"/>
    <w:rsid w:val="003A0626"/>
    <w:rsid w:val="003A07D5"/>
    <w:rsid w:val="003A26EA"/>
    <w:rsid w:val="003A2B68"/>
    <w:rsid w:val="003A369D"/>
    <w:rsid w:val="003A3E09"/>
    <w:rsid w:val="003A4956"/>
    <w:rsid w:val="003A50A4"/>
    <w:rsid w:val="003A55EB"/>
    <w:rsid w:val="003A7A8E"/>
    <w:rsid w:val="003B0263"/>
    <w:rsid w:val="003B0C4D"/>
    <w:rsid w:val="003B1908"/>
    <w:rsid w:val="003B2F9E"/>
    <w:rsid w:val="003B4192"/>
    <w:rsid w:val="003B5A41"/>
    <w:rsid w:val="003C0CB1"/>
    <w:rsid w:val="003C184B"/>
    <w:rsid w:val="003C1B66"/>
    <w:rsid w:val="003C4258"/>
    <w:rsid w:val="003C458B"/>
    <w:rsid w:val="003C4B82"/>
    <w:rsid w:val="003C4C64"/>
    <w:rsid w:val="003C533F"/>
    <w:rsid w:val="003C56F6"/>
    <w:rsid w:val="003C614E"/>
    <w:rsid w:val="003D00E2"/>
    <w:rsid w:val="003D0379"/>
    <w:rsid w:val="003D13C6"/>
    <w:rsid w:val="003D3255"/>
    <w:rsid w:val="003D39F6"/>
    <w:rsid w:val="003D3C1B"/>
    <w:rsid w:val="003D50DE"/>
    <w:rsid w:val="003D5365"/>
    <w:rsid w:val="003D5851"/>
    <w:rsid w:val="003D6049"/>
    <w:rsid w:val="003E0239"/>
    <w:rsid w:val="003E03E7"/>
    <w:rsid w:val="003E13BA"/>
    <w:rsid w:val="003E1AF7"/>
    <w:rsid w:val="003E2389"/>
    <w:rsid w:val="003E2CE0"/>
    <w:rsid w:val="003E5917"/>
    <w:rsid w:val="003E6521"/>
    <w:rsid w:val="003E660C"/>
    <w:rsid w:val="003E6F44"/>
    <w:rsid w:val="003E730A"/>
    <w:rsid w:val="003F08A4"/>
    <w:rsid w:val="003F0E0F"/>
    <w:rsid w:val="003F10F2"/>
    <w:rsid w:val="003F32B0"/>
    <w:rsid w:val="003F3F4C"/>
    <w:rsid w:val="003F4D5E"/>
    <w:rsid w:val="003F655D"/>
    <w:rsid w:val="00400BC0"/>
    <w:rsid w:val="00401B4C"/>
    <w:rsid w:val="00401D14"/>
    <w:rsid w:val="00402DB3"/>
    <w:rsid w:val="00402ED5"/>
    <w:rsid w:val="004038C3"/>
    <w:rsid w:val="00403A4E"/>
    <w:rsid w:val="00405C5B"/>
    <w:rsid w:val="00406BBF"/>
    <w:rsid w:val="00410FA3"/>
    <w:rsid w:val="0041212A"/>
    <w:rsid w:val="00412C79"/>
    <w:rsid w:val="004131DC"/>
    <w:rsid w:val="00413D3D"/>
    <w:rsid w:val="004149AC"/>
    <w:rsid w:val="00414A95"/>
    <w:rsid w:val="004170C4"/>
    <w:rsid w:val="00417764"/>
    <w:rsid w:val="00417771"/>
    <w:rsid w:val="00417899"/>
    <w:rsid w:val="00420564"/>
    <w:rsid w:val="0042095C"/>
    <w:rsid w:val="00420E5E"/>
    <w:rsid w:val="00420EDA"/>
    <w:rsid w:val="00422D60"/>
    <w:rsid w:val="00423608"/>
    <w:rsid w:val="00423FCD"/>
    <w:rsid w:val="0042443A"/>
    <w:rsid w:val="00426110"/>
    <w:rsid w:val="00426A4B"/>
    <w:rsid w:val="00427216"/>
    <w:rsid w:val="00427A22"/>
    <w:rsid w:val="004310B2"/>
    <w:rsid w:val="00431C84"/>
    <w:rsid w:val="00432A46"/>
    <w:rsid w:val="00433BB1"/>
    <w:rsid w:val="00434F66"/>
    <w:rsid w:val="004362AD"/>
    <w:rsid w:val="00436C08"/>
    <w:rsid w:val="00440418"/>
    <w:rsid w:val="0044092F"/>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4B41"/>
    <w:rsid w:val="00456014"/>
    <w:rsid w:val="004563F7"/>
    <w:rsid w:val="00456AFF"/>
    <w:rsid w:val="00456DBA"/>
    <w:rsid w:val="004600B0"/>
    <w:rsid w:val="0046074E"/>
    <w:rsid w:val="00462CD5"/>
    <w:rsid w:val="00464B47"/>
    <w:rsid w:val="00465EC1"/>
    <w:rsid w:val="00466484"/>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3F8D"/>
    <w:rsid w:val="00484D55"/>
    <w:rsid w:val="00485718"/>
    <w:rsid w:val="00485FB5"/>
    <w:rsid w:val="00490A59"/>
    <w:rsid w:val="00490C01"/>
    <w:rsid w:val="0049190D"/>
    <w:rsid w:val="00493201"/>
    <w:rsid w:val="00493D9F"/>
    <w:rsid w:val="00493E26"/>
    <w:rsid w:val="00496582"/>
    <w:rsid w:val="0049716D"/>
    <w:rsid w:val="00497742"/>
    <w:rsid w:val="004A02F8"/>
    <w:rsid w:val="004A0625"/>
    <w:rsid w:val="004A33A4"/>
    <w:rsid w:val="004A53E3"/>
    <w:rsid w:val="004A58A2"/>
    <w:rsid w:val="004A60E2"/>
    <w:rsid w:val="004A69C8"/>
    <w:rsid w:val="004A7004"/>
    <w:rsid w:val="004B1554"/>
    <w:rsid w:val="004B164D"/>
    <w:rsid w:val="004B3F1A"/>
    <w:rsid w:val="004B4802"/>
    <w:rsid w:val="004B560E"/>
    <w:rsid w:val="004B603F"/>
    <w:rsid w:val="004B6C8B"/>
    <w:rsid w:val="004B7181"/>
    <w:rsid w:val="004C38D3"/>
    <w:rsid w:val="004C4B4D"/>
    <w:rsid w:val="004C67CC"/>
    <w:rsid w:val="004C7679"/>
    <w:rsid w:val="004C7D78"/>
    <w:rsid w:val="004D04B3"/>
    <w:rsid w:val="004D25AA"/>
    <w:rsid w:val="004D2E22"/>
    <w:rsid w:val="004D384B"/>
    <w:rsid w:val="004D3A07"/>
    <w:rsid w:val="004D3D26"/>
    <w:rsid w:val="004D41C4"/>
    <w:rsid w:val="004D429D"/>
    <w:rsid w:val="004D4D5C"/>
    <w:rsid w:val="004D4F55"/>
    <w:rsid w:val="004D776E"/>
    <w:rsid w:val="004E024E"/>
    <w:rsid w:val="004E1B1F"/>
    <w:rsid w:val="004E1B33"/>
    <w:rsid w:val="004E1E0A"/>
    <w:rsid w:val="004E3C72"/>
    <w:rsid w:val="004E3F9D"/>
    <w:rsid w:val="004E55E7"/>
    <w:rsid w:val="004E5BFA"/>
    <w:rsid w:val="004F09C5"/>
    <w:rsid w:val="004F0A4F"/>
    <w:rsid w:val="004F0E48"/>
    <w:rsid w:val="004F0F2E"/>
    <w:rsid w:val="004F212B"/>
    <w:rsid w:val="004F337C"/>
    <w:rsid w:val="004F3A7A"/>
    <w:rsid w:val="004F483D"/>
    <w:rsid w:val="004F4A5F"/>
    <w:rsid w:val="004F4DAD"/>
    <w:rsid w:val="004F57CD"/>
    <w:rsid w:val="004F6AF6"/>
    <w:rsid w:val="004F74E0"/>
    <w:rsid w:val="00500387"/>
    <w:rsid w:val="0050149B"/>
    <w:rsid w:val="00504DA0"/>
    <w:rsid w:val="005057E5"/>
    <w:rsid w:val="00505E76"/>
    <w:rsid w:val="00507936"/>
    <w:rsid w:val="00510F91"/>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0B1"/>
    <w:rsid w:val="005275BF"/>
    <w:rsid w:val="00527ECA"/>
    <w:rsid w:val="00530AA1"/>
    <w:rsid w:val="0053228A"/>
    <w:rsid w:val="00532F08"/>
    <w:rsid w:val="00533CB5"/>
    <w:rsid w:val="00534785"/>
    <w:rsid w:val="00536ECE"/>
    <w:rsid w:val="005379D0"/>
    <w:rsid w:val="00537C09"/>
    <w:rsid w:val="00541822"/>
    <w:rsid w:val="005418B8"/>
    <w:rsid w:val="00542072"/>
    <w:rsid w:val="00542758"/>
    <w:rsid w:val="00542A5B"/>
    <w:rsid w:val="0054313F"/>
    <w:rsid w:val="00543599"/>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A7E"/>
    <w:rsid w:val="00575026"/>
    <w:rsid w:val="005761DC"/>
    <w:rsid w:val="00577B77"/>
    <w:rsid w:val="00581CB5"/>
    <w:rsid w:val="0058382C"/>
    <w:rsid w:val="00585357"/>
    <w:rsid w:val="00585AAA"/>
    <w:rsid w:val="00585BAB"/>
    <w:rsid w:val="00586422"/>
    <w:rsid w:val="0058663D"/>
    <w:rsid w:val="00587112"/>
    <w:rsid w:val="00590C94"/>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5804"/>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5F66D7"/>
    <w:rsid w:val="00601C2F"/>
    <w:rsid w:val="00601C5D"/>
    <w:rsid w:val="00601E50"/>
    <w:rsid w:val="0060466E"/>
    <w:rsid w:val="006052FE"/>
    <w:rsid w:val="00605B74"/>
    <w:rsid w:val="0060708B"/>
    <w:rsid w:val="00607753"/>
    <w:rsid w:val="0061108A"/>
    <w:rsid w:val="006113FC"/>
    <w:rsid w:val="006119A3"/>
    <w:rsid w:val="00611C4F"/>
    <w:rsid w:val="00612DC1"/>
    <w:rsid w:val="00613F82"/>
    <w:rsid w:val="00614212"/>
    <w:rsid w:val="00614EE1"/>
    <w:rsid w:val="00615917"/>
    <w:rsid w:val="00616F87"/>
    <w:rsid w:val="0061776A"/>
    <w:rsid w:val="0062072E"/>
    <w:rsid w:val="006219A7"/>
    <w:rsid w:val="00621FF9"/>
    <w:rsid w:val="00622234"/>
    <w:rsid w:val="00623B90"/>
    <w:rsid w:val="006242C3"/>
    <w:rsid w:val="006252D2"/>
    <w:rsid w:val="00626035"/>
    <w:rsid w:val="0062607A"/>
    <w:rsid w:val="0062715F"/>
    <w:rsid w:val="00631CB0"/>
    <w:rsid w:val="006320AD"/>
    <w:rsid w:val="00632104"/>
    <w:rsid w:val="00632172"/>
    <w:rsid w:val="00632417"/>
    <w:rsid w:val="006343EE"/>
    <w:rsid w:val="006355FD"/>
    <w:rsid w:val="00635D9D"/>
    <w:rsid w:val="00636A80"/>
    <w:rsid w:val="00636E56"/>
    <w:rsid w:val="00637637"/>
    <w:rsid w:val="00637FB5"/>
    <w:rsid w:val="0064024F"/>
    <w:rsid w:val="00640508"/>
    <w:rsid w:val="00640BED"/>
    <w:rsid w:val="00642116"/>
    <w:rsid w:val="00642E6B"/>
    <w:rsid w:val="0064352C"/>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4EB5"/>
    <w:rsid w:val="006653EB"/>
    <w:rsid w:val="0066745E"/>
    <w:rsid w:val="00670188"/>
    <w:rsid w:val="0067100F"/>
    <w:rsid w:val="00671CBC"/>
    <w:rsid w:val="00674101"/>
    <w:rsid w:val="00674774"/>
    <w:rsid w:val="0067611F"/>
    <w:rsid w:val="006770EC"/>
    <w:rsid w:val="006819AB"/>
    <w:rsid w:val="0068322B"/>
    <w:rsid w:val="00683E81"/>
    <w:rsid w:val="0068430B"/>
    <w:rsid w:val="00684E07"/>
    <w:rsid w:val="00685D10"/>
    <w:rsid w:val="00685F12"/>
    <w:rsid w:val="00686E96"/>
    <w:rsid w:val="00686EA0"/>
    <w:rsid w:val="00687AA2"/>
    <w:rsid w:val="00690F01"/>
    <w:rsid w:val="00691304"/>
    <w:rsid w:val="0069152B"/>
    <w:rsid w:val="0069194E"/>
    <w:rsid w:val="0069214C"/>
    <w:rsid w:val="00693F43"/>
    <w:rsid w:val="00696557"/>
    <w:rsid w:val="00697002"/>
    <w:rsid w:val="00697CD8"/>
    <w:rsid w:val="00697DA8"/>
    <w:rsid w:val="00697E51"/>
    <w:rsid w:val="006A0288"/>
    <w:rsid w:val="006A1644"/>
    <w:rsid w:val="006A1DCC"/>
    <w:rsid w:val="006A39B7"/>
    <w:rsid w:val="006A3DB1"/>
    <w:rsid w:val="006A41A1"/>
    <w:rsid w:val="006A45A8"/>
    <w:rsid w:val="006A4ED3"/>
    <w:rsid w:val="006A525C"/>
    <w:rsid w:val="006A5617"/>
    <w:rsid w:val="006A62BD"/>
    <w:rsid w:val="006A744B"/>
    <w:rsid w:val="006B0C1C"/>
    <w:rsid w:val="006B1121"/>
    <w:rsid w:val="006B11AC"/>
    <w:rsid w:val="006B129F"/>
    <w:rsid w:val="006B20FD"/>
    <w:rsid w:val="006B26AB"/>
    <w:rsid w:val="006B2F28"/>
    <w:rsid w:val="006B2F2F"/>
    <w:rsid w:val="006B31D4"/>
    <w:rsid w:val="006B3EAE"/>
    <w:rsid w:val="006B4391"/>
    <w:rsid w:val="006B4A37"/>
    <w:rsid w:val="006B5ABA"/>
    <w:rsid w:val="006B6E1F"/>
    <w:rsid w:val="006B6E9D"/>
    <w:rsid w:val="006B793B"/>
    <w:rsid w:val="006B7EA3"/>
    <w:rsid w:val="006C0972"/>
    <w:rsid w:val="006C14DB"/>
    <w:rsid w:val="006C18CB"/>
    <w:rsid w:val="006C2333"/>
    <w:rsid w:val="006C3307"/>
    <w:rsid w:val="006C4BC3"/>
    <w:rsid w:val="006C4C1A"/>
    <w:rsid w:val="006C55AF"/>
    <w:rsid w:val="006C5EED"/>
    <w:rsid w:val="006C6366"/>
    <w:rsid w:val="006C6A50"/>
    <w:rsid w:val="006C6D77"/>
    <w:rsid w:val="006C6DF8"/>
    <w:rsid w:val="006C77D6"/>
    <w:rsid w:val="006D1706"/>
    <w:rsid w:val="006D1F6C"/>
    <w:rsid w:val="006D2864"/>
    <w:rsid w:val="006D299E"/>
    <w:rsid w:val="006D3A09"/>
    <w:rsid w:val="006D4C49"/>
    <w:rsid w:val="006D4CCD"/>
    <w:rsid w:val="006D580B"/>
    <w:rsid w:val="006D619B"/>
    <w:rsid w:val="006D7D48"/>
    <w:rsid w:val="006D7E0C"/>
    <w:rsid w:val="006E018F"/>
    <w:rsid w:val="006E059A"/>
    <w:rsid w:val="006E1A26"/>
    <w:rsid w:val="006E1C5A"/>
    <w:rsid w:val="006E2398"/>
    <w:rsid w:val="006E3118"/>
    <w:rsid w:val="006E3876"/>
    <w:rsid w:val="006E39F5"/>
    <w:rsid w:val="006E3DC1"/>
    <w:rsid w:val="006E43D5"/>
    <w:rsid w:val="006E6D03"/>
    <w:rsid w:val="006E70AC"/>
    <w:rsid w:val="006E75FE"/>
    <w:rsid w:val="006F15EB"/>
    <w:rsid w:val="006F2311"/>
    <w:rsid w:val="006F24F0"/>
    <w:rsid w:val="006F2647"/>
    <w:rsid w:val="006F2F8B"/>
    <w:rsid w:val="006F327A"/>
    <w:rsid w:val="006F48EF"/>
    <w:rsid w:val="006F5664"/>
    <w:rsid w:val="006F59CA"/>
    <w:rsid w:val="006F5DB2"/>
    <w:rsid w:val="006F677A"/>
    <w:rsid w:val="006F707B"/>
    <w:rsid w:val="006F738D"/>
    <w:rsid w:val="007009CE"/>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7A09"/>
    <w:rsid w:val="00717D43"/>
    <w:rsid w:val="00720445"/>
    <w:rsid w:val="007219B5"/>
    <w:rsid w:val="007221BC"/>
    <w:rsid w:val="00722645"/>
    <w:rsid w:val="00723631"/>
    <w:rsid w:val="00725F43"/>
    <w:rsid w:val="0072671C"/>
    <w:rsid w:val="00727068"/>
    <w:rsid w:val="00727585"/>
    <w:rsid w:val="00727F1F"/>
    <w:rsid w:val="00727FA3"/>
    <w:rsid w:val="00731380"/>
    <w:rsid w:val="00731B7A"/>
    <w:rsid w:val="00731E5B"/>
    <w:rsid w:val="007339F2"/>
    <w:rsid w:val="00734043"/>
    <w:rsid w:val="0073480E"/>
    <w:rsid w:val="007349DA"/>
    <w:rsid w:val="00734C5E"/>
    <w:rsid w:val="007356E9"/>
    <w:rsid w:val="007376BA"/>
    <w:rsid w:val="007377AD"/>
    <w:rsid w:val="007402E3"/>
    <w:rsid w:val="00741730"/>
    <w:rsid w:val="00742833"/>
    <w:rsid w:val="00742DE7"/>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39A"/>
    <w:rsid w:val="007576C5"/>
    <w:rsid w:val="00757743"/>
    <w:rsid w:val="007577A7"/>
    <w:rsid w:val="00757952"/>
    <w:rsid w:val="00762031"/>
    <w:rsid w:val="007634E2"/>
    <w:rsid w:val="0076360F"/>
    <w:rsid w:val="00764924"/>
    <w:rsid w:val="00765780"/>
    <w:rsid w:val="00765D72"/>
    <w:rsid w:val="00767A52"/>
    <w:rsid w:val="0077028C"/>
    <w:rsid w:val="007705CD"/>
    <w:rsid w:val="00770931"/>
    <w:rsid w:val="0077152B"/>
    <w:rsid w:val="007721EA"/>
    <w:rsid w:val="00774BB1"/>
    <w:rsid w:val="00775A98"/>
    <w:rsid w:val="00775B32"/>
    <w:rsid w:val="00775FE1"/>
    <w:rsid w:val="00777F34"/>
    <w:rsid w:val="00782A3A"/>
    <w:rsid w:val="00783C9B"/>
    <w:rsid w:val="00784A73"/>
    <w:rsid w:val="00786321"/>
    <w:rsid w:val="00787B18"/>
    <w:rsid w:val="007908BC"/>
    <w:rsid w:val="00790F6B"/>
    <w:rsid w:val="0079168B"/>
    <w:rsid w:val="00791931"/>
    <w:rsid w:val="00791A89"/>
    <w:rsid w:val="0079221B"/>
    <w:rsid w:val="00795EF8"/>
    <w:rsid w:val="00796C5C"/>
    <w:rsid w:val="0079794E"/>
    <w:rsid w:val="007A15ED"/>
    <w:rsid w:val="007A255A"/>
    <w:rsid w:val="007A3437"/>
    <w:rsid w:val="007A4C65"/>
    <w:rsid w:val="007A4E30"/>
    <w:rsid w:val="007A52A5"/>
    <w:rsid w:val="007A53E8"/>
    <w:rsid w:val="007A5720"/>
    <w:rsid w:val="007A5935"/>
    <w:rsid w:val="007A5ED7"/>
    <w:rsid w:val="007A6D60"/>
    <w:rsid w:val="007A732B"/>
    <w:rsid w:val="007A7AF1"/>
    <w:rsid w:val="007B12FE"/>
    <w:rsid w:val="007B1D4B"/>
    <w:rsid w:val="007B2726"/>
    <w:rsid w:val="007B2732"/>
    <w:rsid w:val="007B5EFA"/>
    <w:rsid w:val="007B688C"/>
    <w:rsid w:val="007B6A27"/>
    <w:rsid w:val="007B6C0C"/>
    <w:rsid w:val="007B7321"/>
    <w:rsid w:val="007B772C"/>
    <w:rsid w:val="007B7958"/>
    <w:rsid w:val="007C07A8"/>
    <w:rsid w:val="007C07FE"/>
    <w:rsid w:val="007C1BB6"/>
    <w:rsid w:val="007C2203"/>
    <w:rsid w:val="007C2A8E"/>
    <w:rsid w:val="007C3691"/>
    <w:rsid w:val="007C3A1E"/>
    <w:rsid w:val="007C4442"/>
    <w:rsid w:val="007C44F4"/>
    <w:rsid w:val="007C46F5"/>
    <w:rsid w:val="007C5011"/>
    <w:rsid w:val="007C5279"/>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D26"/>
    <w:rsid w:val="007E0F55"/>
    <w:rsid w:val="007E332E"/>
    <w:rsid w:val="007E39A9"/>
    <w:rsid w:val="007E5E3B"/>
    <w:rsid w:val="007E6FCE"/>
    <w:rsid w:val="007E766C"/>
    <w:rsid w:val="007F0EBB"/>
    <w:rsid w:val="007F143B"/>
    <w:rsid w:val="007F15B6"/>
    <w:rsid w:val="007F26EA"/>
    <w:rsid w:val="007F43C7"/>
    <w:rsid w:val="007F4EA5"/>
    <w:rsid w:val="007F595F"/>
    <w:rsid w:val="007F77EF"/>
    <w:rsid w:val="007F792A"/>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17EA"/>
    <w:rsid w:val="008317F7"/>
    <w:rsid w:val="008321D0"/>
    <w:rsid w:val="0083266C"/>
    <w:rsid w:val="00834080"/>
    <w:rsid w:val="00835451"/>
    <w:rsid w:val="008355CB"/>
    <w:rsid w:val="008359F7"/>
    <w:rsid w:val="00836AA2"/>
    <w:rsid w:val="00836CB0"/>
    <w:rsid w:val="00836DD3"/>
    <w:rsid w:val="0083714F"/>
    <w:rsid w:val="008374C0"/>
    <w:rsid w:val="00840C09"/>
    <w:rsid w:val="00841790"/>
    <w:rsid w:val="008419F5"/>
    <w:rsid w:val="00842214"/>
    <w:rsid w:val="00844FE2"/>
    <w:rsid w:val="0084577C"/>
    <w:rsid w:val="008464CC"/>
    <w:rsid w:val="0084767C"/>
    <w:rsid w:val="00847770"/>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73E6"/>
    <w:rsid w:val="00870030"/>
    <w:rsid w:val="0087066E"/>
    <w:rsid w:val="00871018"/>
    <w:rsid w:val="00872D05"/>
    <w:rsid w:val="00872FD6"/>
    <w:rsid w:val="008734E2"/>
    <w:rsid w:val="0087352C"/>
    <w:rsid w:val="00873C95"/>
    <w:rsid w:val="00874384"/>
    <w:rsid w:val="0087552D"/>
    <w:rsid w:val="00875B51"/>
    <w:rsid w:val="00877B00"/>
    <w:rsid w:val="00880188"/>
    <w:rsid w:val="0088144E"/>
    <w:rsid w:val="0088226C"/>
    <w:rsid w:val="00882F60"/>
    <w:rsid w:val="00883895"/>
    <w:rsid w:val="00883E2E"/>
    <w:rsid w:val="008854EF"/>
    <w:rsid w:val="00885AAF"/>
    <w:rsid w:val="00886750"/>
    <w:rsid w:val="00887089"/>
    <w:rsid w:val="00890121"/>
    <w:rsid w:val="00890C31"/>
    <w:rsid w:val="00892627"/>
    <w:rsid w:val="00894748"/>
    <w:rsid w:val="00894C37"/>
    <w:rsid w:val="008968E2"/>
    <w:rsid w:val="008A09D6"/>
    <w:rsid w:val="008A0FE8"/>
    <w:rsid w:val="008A3B1E"/>
    <w:rsid w:val="008A3E18"/>
    <w:rsid w:val="008A3FE1"/>
    <w:rsid w:val="008A4669"/>
    <w:rsid w:val="008A46C4"/>
    <w:rsid w:val="008A55F2"/>
    <w:rsid w:val="008A59CD"/>
    <w:rsid w:val="008A5F2D"/>
    <w:rsid w:val="008A69C9"/>
    <w:rsid w:val="008A6CEE"/>
    <w:rsid w:val="008A72D5"/>
    <w:rsid w:val="008B0DF1"/>
    <w:rsid w:val="008B1A20"/>
    <w:rsid w:val="008B262B"/>
    <w:rsid w:val="008B4A80"/>
    <w:rsid w:val="008B5E54"/>
    <w:rsid w:val="008B6679"/>
    <w:rsid w:val="008B6FA5"/>
    <w:rsid w:val="008C0D9B"/>
    <w:rsid w:val="008C1D05"/>
    <w:rsid w:val="008C2448"/>
    <w:rsid w:val="008C2D27"/>
    <w:rsid w:val="008C3853"/>
    <w:rsid w:val="008C45C1"/>
    <w:rsid w:val="008C52FE"/>
    <w:rsid w:val="008C57AA"/>
    <w:rsid w:val="008C69E5"/>
    <w:rsid w:val="008D00E5"/>
    <w:rsid w:val="008D0383"/>
    <w:rsid w:val="008D136E"/>
    <w:rsid w:val="008D2C7A"/>
    <w:rsid w:val="008D4FD2"/>
    <w:rsid w:val="008D5128"/>
    <w:rsid w:val="008D5306"/>
    <w:rsid w:val="008D6967"/>
    <w:rsid w:val="008D6F61"/>
    <w:rsid w:val="008E0A20"/>
    <w:rsid w:val="008E22B9"/>
    <w:rsid w:val="008E25E6"/>
    <w:rsid w:val="008E269C"/>
    <w:rsid w:val="008E3B20"/>
    <w:rsid w:val="008E3EC5"/>
    <w:rsid w:val="008E4A08"/>
    <w:rsid w:val="008E4B48"/>
    <w:rsid w:val="008E6365"/>
    <w:rsid w:val="008E74EA"/>
    <w:rsid w:val="008E77A7"/>
    <w:rsid w:val="008E7B47"/>
    <w:rsid w:val="008F0EE4"/>
    <w:rsid w:val="008F1D4A"/>
    <w:rsid w:val="008F28B5"/>
    <w:rsid w:val="008F31C4"/>
    <w:rsid w:val="008F37CE"/>
    <w:rsid w:val="008F4342"/>
    <w:rsid w:val="008F4894"/>
    <w:rsid w:val="008F4C45"/>
    <w:rsid w:val="008F56C7"/>
    <w:rsid w:val="008F5FED"/>
    <w:rsid w:val="008F63DE"/>
    <w:rsid w:val="008F6932"/>
    <w:rsid w:val="008F7278"/>
    <w:rsid w:val="008F7417"/>
    <w:rsid w:val="008F7F8A"/>
    <w:rsid w:val="00903EFA"/>
    <w:rsid w:val="0090406D"/>
    <w:rsid w:val="00904441"/>
    <w:rsid w:val="00904768"/>
    <w:rsid w:val="009053AC"/>
    <w:rsid w:val="0090592C"/>
    <w:rsid w:val="00905F4B"/>
    <w:rsid w:val="00906EAE"/>
    <w:rsid w:val="00906EDB"/>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1D"/>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4EC6"/>
    <w:rsid w:val="009451B1"/>
    <w:rsid w:val="00945A81"/>
    <w:rsid w:val="0094661F"/>
    <w:rsid w:val="00947811"/>
    <w:rsid w:val="00947A2C"/>
    <w:rsid w:val="009501EE"/>
    <w:rsid w:val="00951037"/>
    <w:rsid w:val="00951101"/>
    <w:rsid w:val="009526C2"/>
    <w:rsid w:val="0095299F"/>
    <w:rsid w:val="00952A39"/>
    <w:rsid w:val="009544B1"/>
    <w:rsid w:val="00954789"/>
    <w:rsid w:val="009548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3097"/>
    <w:rsid w:val="00985D0E"/>
    <w:rsid w:val="009868E7"/>
    <w:rsid w:val="009873E9"/>
    <w:rsid w:val="009908C2"/>
    <w:rsid w:val="00991BF9"/>
    <w:rsid w:val="00992030"/>
    <w:rsid w:val="009924C8"/>
    <w:rsid w:val="00992977"/>
    <w:rsid w:val="009937EF"/>
    <w:rsid w:val="00993B9C"/>
    <w:rsid w:val="0099476F"/>
    <w:rsid w:val="00996070"/>
    <w:rsid w:val="009960E1"/>
    <w:rsid w:val="009973CD"/>
    <w:rsid w:val="009974D2"/>
    <w:rsid w:val="0099784F"/>
    <w:rsid w:val="00997F2C"/>
    <w:rsid w:val="009A04E7"/>
    <w:rsid w:val="009A058E"/>
    <w:rsid w:val="009A069F"/>
    <w:rsid w:val="009A0D68"/>
    <w:rsid w:val="009A0E00"/>
    <w:rsid w:val="009A121A"/>
    <w:rsid w:val="009A1779"/>
    <w:rsid w:val="009A1E78"/>
    <w:rsid w:val="009A27BC"/>
    <w:rsid w:val="009A3B2C"/>
    <w:rsid w:val="009A51C2"/>
    <w:rsid w:val="009A5E8C"/>
    <w:rsid w:val="009A6C28"/>
    <w:rsid w:val="009A70EC"/>
    <w:rsid w:val="009A727E"/>
    <w:rsid w:val="009A7692"/>
    <w:rsid w:val="009B09E2"/>
    <w:rsid w:val="009B1872"/>
    <w:rsid w:val="009B3256"/>
    <w:rsid w:val="009B3DBE"/>
    <w:rsid w:val="009B465C"/>
    <w:rsid w:val="009B4A01"/>
    <w:rsid w:val="009B51A5"/>
    <w:rsid w:val="009B52B1"/>
    <w:rsid w:val="009B66C8"/>
    <w:rsid w:val="009C0494"/>
    <w:rsid w:val="009C06D9"/>
    <w:rsid w:val="009C1DCE"/>
    <w:rsid w:val="009C2E4E"/>
    <w:rsid w:val="009C3805"/>
    <w:rsid w:val="009C555F"/>
    <w:rsid w:val="009C58BD"/>
    <w:rsid w:val="009C5A9D"/>
    <w:rsid w:val="009C5F1F"/>
    <w:rsid w:val="009C64BA"/>
    <w:rsid w:val="009D0310"/>
    <w:rsid w:val="009D0432"/>
    <w:rsid w:val="009D0AFE"/>
    <w:rsid w:val="009D12CA"/>
    <w:rsid w:val="009D152B"/>
    <w:rsid w:val="009D410A"/>
    <w:rsid w:val="009D49F1"/>
    <w:rsid w:val="009D4C56"/>
    <w:rsid w:val="009D548F"/>
    <w:rsid w:val="009D5D32"/>
    <w:rsid w:val="009D5F28"/>
    <w:rsid w:val="009D7962"/>
    <w:rsid w:val="009D7D67"/>
    <w:rsid w:val="009D7E96"/>
    <w:rsid w:val="009E1B7D"/>
    <w:rsid w:val="009E2365"/>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51F"/>
    <w:rsid w:val="00A04711"/>
    <w:rsid w:val="00A04FB3"/>
    <w:rsid w:val="00A05BD7"/>
    <w:rsid w:val="00A0685F"/>
    <w:rsid w:val="00A06E56"/>
    <w:rsid w:val="00A072E6"/>
    <w:rsid w:val="00A0757E"/>
    <w:rsid w:val="00A07A91"/>
    <w:rsid w:val="00A07BA8"/>
    <w:rsid w:val="00A12F06"/>
    <w:rsid w:val="00A13206"/>
    <w:rsid w:val="00A1380B"/>
    <w:rsid w:val="00A1431D"/>
    <w:rsid w:val="00A14550"/>
    <w:rsid w:val="00A145A9"/>
    <w:rsid w:val="00A15ACC"/>
    <w:rsid w:val="00A16417"/>
    <w:rsid w:val="00A16B48"/>
    <w:rsid w:val="00A16E42"/>
    <w:rsid w:val="00A170A3"/>
    <w:rsid w:val="00A17A45"/>
    <w:rsid w:val="00A17F97"/>
    <w:rsid w:val="00A202BC"/>
    <w:rsid w:val="00A203A2"/>
    <w:rsid w:val="00A20492"/>
    <w:rsid w:val="00A220E6"/>
    <w:rsid w:val="00A220FF"/>
    <w:rsid w:val="00A22121"/>
    <w:rsid w:val="00A22D28"/>
    <w:rsid w:val="00A233E2"/>
    <w:rsid w:val="00A23C47"/>
    <w:rsid w:val="00A24F11"/>
    <w:rsid w:val="00A2501C"/>
    <w:rsid w:val="00A25C2D"/>
    <w:rsid w:val="00A25E6E"/>
    <w:rsid w:val="00A260D4"/>
    <w:rsid w:val="00A26BF9"/>
    <w:rsid w:val="00A26CD1"/>
    <w:rsid w:val="00A26DC2"/>
    <w:rsid w:val="00A300C8"/>
    <w:rsid w:val="00A306EB"/>
    <w:rsid w:val="00A312FD"/>
    <w:rsid w:val="00A31A4F"/>
    <w:rsid w:val="00A31DA9"/>
    <w:rsid w:val="00A33DBD"/>
    <w:rsid w:val="00A36D5D"/>
    <w:rsid w:val="00A370A3"/>
    <w:rsid w:val="00A37CDA"/>
    <w:rsid w:val="00A40206"/>
    <w:rsid w:val="00A41843"/>
    <w:rsid w:val="00A41C41"/>
    <w:rsid w:val="00A44422"/>
    <w:rsid w:val="00A4458E"/>
    <w:rsid w:val="00A45B3B"/>
    <w:rsid w:val="00A45E50"/>
    <w:rsid w:val="00A461A7"/>
    <w:rsid w:val="00A46D85"/>
    <w:rsid w:val="00A478F4"/>
    <w:rsid w:val="00A504CC"/>
    <w:rsid w:val="00A50C45"/>
    <w:rsid w:val="00A50EC7"/>
    <w:rsid w:val="00A51C2B"/>
    <w:rsid w:val="00A51DCE"/>
    <w:rsid w:val="00A535FB"/>
    <w:rsid w:val="00A53A17"/>
    <w:rsid w:val="00A53A92"/>
    <w:rsid w:val="00A54DAA"/>
    <w:rsid w:val="00A55F52"/>
    <w:rsid w:val="00A57284"/>
    <w:rsid w:val="00A6383F"/>
    <w:rsid w:val="00A64026"/>
    <w:rsid w:val="00A64837"/>
    <w:rsid w:val="00A6564E"/>
    <w:rsid w:val="00A65CA5"/>
    <w:rsid w:val="00A65DA1"/>
    <w:rsid w:val="00A6646D"/>
    <w:rsid w:val="00A664F4"/>
    <w:rsid w:val="00A66C0A"/>
    <w:rsid w:val="00A67239"/>
    <w:rsid w:val="00A674A0"/>
    <w:rsid w:val="00A7005F"/>
    <w:rsid w:val="00A70BD8"/>
    <w:rsid w:val="00A7230B"/>
    <w:rsid w:val="00A7275A"/>
    <w:rsid w:val="00A75032"/>
    <w:rsid w:val="00A771FE"/>
    <w:rsid w:val="00A77903"/>
    <w:rsid w:val="00A80A21"/>
    <w:rsid w:val="00A81C62"/>
    <w:rsid w:val="00A81F16"/>
    <w:rsid w:val="00A82BB0"/>
    <w:rsid w:val="00A83D53"/>
    <w:rsid w:val="00A84085"/>
    <w:rsid w:val="00A84DAB"/>
    <w:rsid w:val="00A85EEA"/>
    <w:rsid w:val="00A873E0"/>
    <w:rsid w:val="00A878E5"/>
    <w:rsid w:val="00A90098"/>
    <w:rsid w:val="00A90B72"/>
    <w:rsid w:val="00A90C72"/>
    <w:rsid w:val="00A9101C"/>
    <w:rsid w:val="00A9121B"/>
    <w:rsid w:val="00A91250"/>
    <w:rsid w:val="00A9177E"/>
    <w:rsid w:val="00A917CE"/>
    <w:rsid w:val="00A924E3"/>
    <w:rsid w:val="00A9294A"/>
    <w:rsid w:val="00A93111"/>
    <w:rsid w:val="00A94531"/>
    <w:rsid w:val="00A95222"/>
    <w:rsid w:val="00A9523C"/>
    <w:rsid w:val="00A952DC"/>
    <w:rsid w:val="00A95430"/>
    <w:rsid w:val="00A95B85"/>
    <w:rsid w:val="00A965F5"/>
    <w:rsid w:val="00A967FF"/>
    <w:rsid w:val="00A96EE1"/>
    <w:rsid w:val="00AA2184"/>
    <w:rsid w:val="00AA299F"/>
    <w:rsid w:val="00AA29A9"/>
    <w:rsid w:val="00AA2ECD"/>
    <w:rsid w:val="00AA2F4C"/>
    <w:rsid w:val="00AA389E"/>
    <w:rsid w:val="00AA4670"/>
    <w:rsid w:val="00AA5EB8"/>
    <w:rsid w:val="00AA7877"/>
    <w:rsid w:val="00AA7F3B"/>
    <w:rsid w:val="00AB1BC5"/>
    <w:rsid w:val="00AB34FB"/>
    <w:rsid w:val="00AB386C"/>
    <w:rsid w:val="00AB3EA7"/>
    <w:rsid w:val="00AB5385"/>
    <w:rsid w:val="00AB63C9"/>
    <w:rsid w:val="00AB7434"/>
    <w:rsid w:val="00AB7BCC"/>
    <w:rsid w:val="00AC0D89"/>
    <w:rsid w:val="00AC0DED"/>
    <w:rsid w:val="00AC0EDD"/>
    <w:rsid w:val="00AC24D4"/>
    <w:rsid w:val="00AC286A"/>
    <w:rsid w:val="00AC2BDA"/>
    <w:rsid w:val="00AC30A5"/>
    <w:rsid w:val="00AC3589"/>
    <w:rsid w:val="00AC3BD7"/>
    <w:rsid w:val="00AC538B"/>
    <w:rsid w:val="00AC6483"/>
    <w:rsid w:val="00AD0CB0"/>
    <w:rsid w:val="00AD1131"/>
    <w:rsid w:val="00AD198C"/>
    <w:rsid w:val="00AD2787"/>
    <w:rsid w:val="00AD48CF"/>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0275"/>
    <w:rsid w:val="00AF20EE"/>
    <w:rsid w:val="00AF21AB"/>
    <w:rsid w:val="00AF2933"/>
    <w:rsid w:val="00AF2A5D"/>
    <w:rsid w:val="00AF39F4"/>
    <w:rsid w:val="00AF4D5D"/>
    <w:rsid w:val="00AF5525"/>
    <w:rsid w:val="00AF5F92"/>
    <w:rsid w:val="00AF66E6"/>
    <w:rsid w:val="00AF6B5D"/>
    <w:rsid w:val="00AF78C3"/>
    <w:rsid w:val="00B01283"/>
    <w:rsid w:val="00B013E8"/>
    <w:rsid w:val="00B0375F"/>
    <w:rsid w:val="00B03CFC"/>
    <w:rsid w:val="00B0447A"/>
    <w:rsid w:val="00B06293"/>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02E4"/>
    <w:rsid w:val="00B411C5"/>
    <w:rsid w:val="00B415F6"/>
    <w:rsid w:val="00B417FD"/>
    <w:rsid w:val="00B4221C"/>
    <w:rsid w:val="00B42441"/>
    <w:rsid w:val="00B443CB"/>
    <w:rsid w:val="00B44413"/>
    <w:rsid w:val="00B460C7"/>
    <w:rsid w:val="00B4704D"/>
    <w:rsid w:val="00B47F23"/>
    <w:rsid w:val="00B50D30"/>
    <w:rsid w:val="00B50FC3"/>
    <w:rsid w:val="00B51AB0"/>
    <w:rsid w:val="00B52657"/>
    <w:rsid w:val="00B528E7"/>
    <w:rsid w:val="00B536BA"/>
    <w:rsid w:val="00B55CB0"/>
    <w:rsid w:val="00B566E5"/>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3EA9"/>
    <w:rsid w:val="00B84571"/>
    <w:rsid w:val="00B85144"/>
    <w:rsid w:val="00B8520A"/>
    <w:rsid w:val="00B875E8"/>
    <w:rsid w:val="00B919B5"/>
    <w:rsid w:val="00B92833"/>
    <w:rsid w:val="00B928B1"/>
    <w:rsid w:val="00B93A3A"/>
    <w:rsid w:val="00B94456"/>
    <w:rsid w:val="00B957B1"/>
    <w:rsid w:val="00B977B8"/>
    <w:rsid w:val="00BA0295"/>
    <w:rsid w:val="00BA0471"/>
    <w:rsid w:val="00BA0BC2"/>
    <w:rsid w:val="00BA0C2D"/>
    <w:rsid w:val="00BA0C40"/>
    <w:rsid w:val="00BA10DA"/>
    <w:rsid w:val="00BA330E"/>
    <w:rsid w:val="00BA5047"/>
    <w:rsid w:val="00BA54C2"/>
    <w:rsid w:val="00BA62A8"/>
    <w:rsid w:val="00BB188F"/>
    <w:rsid w:val="00BB1FC3"/>
    <w:rsid w:val="00BB26EE"/>
    <w:rsid w:val="00BB2967"/>
    <w:rsid w:val="00BB2ACB"/>
    <w:rsid w:val="00BB2CBF"/>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267B"/>
    <w:rsid w:val="00BD2C5E"/>
    <w:rsid w:val="00BD3224"/>
    <w:rsid w:val="00BD45EA"/>
    <w:rsid w:val="00BD518E"/>
    <w:rsid w:val="00BD54F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1C5"/>
    <w:rsid w:val="00BF0776"/>
    <w:rsid w:val="00BF0AD3"/>
    <w:rsid w:val="00BF1686"/>
    <w:rsid w:val="00BF2327"/>
    <w:rsid w:val="00BF2B19"/>
    <w:rsid w:val="00BF2C61"/>
    <w:rsid w:val="00BF37EE"/>
    <w:rsid w:val="00BF3BE8"/>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6DB8"/>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1AB"/>
    <w:rsid w:val="00C26D8A"/>
    <w:rsid w:val="00C27258"/>
    <w:rsid w:val="00C279ED"/>
    <w:rsid w:val="00C3248B"/>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357B"/>
    <w:rsid w:val="00C73B4B"/>
    <w:rsid w:val="00C74BD8"/>
    <w:rsid w:val="00C76352"/>
    <w:rsid w:val="00C765C7"/>
    <w:rsid w:val="00C801E7"/>
    <w:rsid w:val="00C804E6"/>
    <w:rsid w:val="00C80AC8"/>
    <w:rsid w:val="00C80DA9"/>
    <w:rsid w:val="00C80E69"/>
    <w:rsid w:val="00C819A3"/>
    <w:rsid w:val="00C822A8"/>
    <w:rsid w:val="00C84CE2"/>
    <w:rsid w:val="00C85CDE"/>
    <w:rsid w:val="00C914DD"/>
    <w:rsid w:val="00C92E08"/>
    <w:rsid w:val="00C96572"/>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69E0"/>
    <w:rsid w:val="00CB70EA"/>
    <w:rsid w:val="00CB750C"/>
    <w:rsid w:val="00CB781E"/>
    <w:rsid w:val="00CC0723"/>
    <w:rsid w:val="00CC13CF"/>
    <w:rsid w:val="00CC24C5"/>
    <w:rsid w:val="00CC2556"/>
    <w:rsid w:val="00CC2892"/>
    <w:rsid w:val="00CC3323"/>
    <w:rsid w:val="00CC4B81"/>
    <w:rsid w:val="00CC550A"/>
    <w:rsid w:val="00CC5B6E"/>
    <w:rsid w:val="00CC635F"/>
    <w:rsid w:val="00CC6BBF"/>
    <w:rsid w:val="00CD32CF"/>
    <w:rsid w:val="00CD407F"/>
    <w:rsid w:val="00CD40F9"/>
    <w:rsid w:val="00CD48CE"/>
    <w:rsid w:val="00CD557E"/>
    <w:rsid w:val="00CD5CD2"/>
    <w:rsid w:val="00CD5F3D"/>
    <w:rsid w:val="00CD5FE7"/>
    <w:rsid w:val="00CD604B"/>
    <w:rsid w:val="00CD6EED"/>
    <w:rsid w:val="00CD756E"/>
    <w:rsid w:val="00CD7C51"/>
    <w:rsid w:val="00CE0241"/>
    <w:rsid w:val="00CE0529"/>
    <w:rsid w:val="00CE06B3"/>
    <w:rsid w:val="00CE0998"/>
    <w:rsid w:val="00CE152A"/>
    <w:rsid w:val="00CE1BA4"/>
    <w:rsid w:val="00CE26CD"/>
    <w:rsid w:val="00CE6D3D"/>
    <w:rsid w:val="00CE7AC6"/>
    <w:rsid w:val="00CE7F2F"/>
    <w:rsid w:val="00CE7FC8"/>
    <w:rsid w:val="00CF09C5"/>
    <w:rsid w:val="00CF18E7"/>
    <w:rsid w:val="00CF220C"/>
    <w:rsid w:val="00CF2371"/>
    <w:rsid w:val="00CF3904"/>
    <w:rsid w:val="00CF4AED"/>
    <w:rsid w:val="00CF6C69"/>
    <w:rsid w:val="00CF6E1C"/>
    <w:rsid w:val="00CF7DF9"/>
    <w:rsid w:val="00D01664"/>
    <w:rsid w:val="00D03243"/>
    <w:rsid w:val="00D038CC"/>
    <w:rsid w:val="00D03FF6"/>
    <w:rsid w:val="00D04BA7"/>
    <w:rsid w:val="00D1045A"/>
    <w:rsid w:val="00D10628"/>
    <w:rsid w:val="00D11276"/>
    <w:rsid w:val="00D12991"/>
    <w:rsid w:val="00D1340E"/>
    <w:rsid w:val="00D14739"/>
    <w:rsid w:val="00D147C8"/>
    <w:rsid w:val="00D15CE5"/>
    <w:rsid w:val="00D16A2E"/>
    <w:rsid w:val="00D16C4A"/>
    <w:rsid w:val="00D17FF8"/>
    <w:rsid w:val="00D20034"/>
    <w:rsid w:val="00D201EF"/>
    <w:rsid w:val="00D20D11"/>
    <w:rsid w:val="00D225B4"/>
    <w:rsid w:val="00D22B60"/>
    <w:rsid w:val="00D239A5"/>
    <w:rsid w:val="00D250AD"/>
    <w:rsid w:val="00D267B2"/>
    <w:rsid w:val="00D2783B"/>
    <w:rsid w:val="00D279EF"/>
    <w:rsid w:val="00D27CE6"/>
    <w:rsid w:val="00D303D6"/>
    <w:rsid w:val="00D3075C"/>
    <w:rsid w:val="00D31311"/>
    <w:rsid w:val="00D3175C"/>
    <w:rsid w:val="00D32A41"/>
    <w:rsid w:val="00D32E79"/>
    <w:rsid w:val="00D334B0"/>
    <w:rsid w:val="00D3368C"/>
    <w:rsid w:val="00D34F31"/>
    <w:rsid w:val="00D3519D"/>
    <w:rsid w:val="00D35B90"/>
    <w:rsid w:val="00D360EC"/>
    <w:rsid w:val="00D3629F"/>
    <w:rsid w:val="00D40159"/>
    <w:rsid w:val="00D404E0"/>
    <w:rsid w:val="00D411FC"/>
    <w:rsid w:val="00D413E3"/>
    <w:rsid w:val="00D4165F"/>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462D"/>
    <w:rsid w:val="00D561DB"/>
    <w:rsid w:val="00D566FF"/>
    <w:rsid w:val="00D57BCC"/>
    <w:rsid w:val="00D57D83"/>
    <w:rsid w:val="00D57E5A"/>
    <w:rsid w:val="00D6005A"/>
    <w:rsid w:val="00D60EE3"/>
    <w:rsid w:val="00D61367"/>
    <w:rsid w:val="00D619B5"/>
    <w:rsid w:val="00D61CB1"/>
    <w:rsid w:val="00D62149"/>
    <w:rsid w:val="00D632A2"/>
    <w:rsid w:val="00D63F79"/>
    <w:rsid w:val="00D64682"/>
    <w:rsid w:val="00D64F50"/>
    <w:rsid w:val="00D65605"/>
    <w:rsid w:val="00D67119"/>
    <w:rsid w:val="00D70A85"/>
    <w:rsid w:val="00D71D03"/>
    <w:rsid w:val="00D749FB"/>
    <w:rsid w:val="00D75024"/>
    <w:rsid w:val="00D76700"/>
    <w:rsid w:val="00D76E1B"/>
    <w:rsid w:val="00D80D66"/>
    <w:rsid w:val="00D80FC6"/>
    <w:rsid w:val="00D812EF"/>
    <w:rsid w:val="00D81874"/>
    <w:rsid w:val="00D81C11"/>
    <w:rsid w:val="00D8221A"/>
    <w:rsid w:val="00D8307C"/>
    <w:rsid w:val="00D836B3"/>
    <w:rsid w:val="00D83EB6"/>
    <w:rsid w:val="00D85013"/>
    <w:rsid w:val="00D85AE6"/>
    <w:rsid w:val="00D87BF6"/>
    <w:rsid w:val="00D91F78"/>
    <w:rsid w:val="00D92959"/>
    <w:rsid w:val="00D93655"/>
    <w:rsid w:val="00D9426A"/>
    <w:rsid w:val="00D9453F"/>
    <w:rsid w:val="00D945A9"/>
    <w:rsid w:val="00DA1147"/>
    <w:rsid w:val="00DA12D8"/>
    <w:rsid w:val="00DA247F"/>
    <w:rsid w:val="00DA4CC1"/>
    <w:rsid w:val="00DA6E91"/>
    <w:rsid w:val="00DA7BE5"/>
    <w:rsid w:val="00DB0303"/>
    <w:rsid w:val="00DB098F"/>
    <w:rsid w:val="00DB1A75"/>
    <w:rsid w:val="00DB2789"/>
    <w:rsid w:val="00DB302D"/>
    <w:rsid w:val="00DB3F19"/>
    <w:rsid w:val="00DB41EC"/>
    <w:rsid w:val="00DB427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1C84"/>
    <w:rsid w:val="00DD212B"/>
    <w:rsid w:val="00DD2409"/>
    <w:rsid w:val="00DD2710"/>
    <w:rsid w:val="00DD352A"/>
    <w:rsid w:val="00DD35E4"/>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57E"/>
    <w:rsid w:val="00E26AF6"/>
    <w:rsid w:val="00E305B5"/>
    <w:rsid w:val="00E312DC"/>
    <w:rsid w:val="00E31D05"/>
    <w:rsid w:val="00E31EC2"/>
    <w:rsid w:val="00E32232"/>
    <w:rsid w:val="00E3299E"/>
    <w:rsid w:val="00E32E44"/>
    <w:rsid w:val="00E343FA"/>
    <w:rsid w:val="00E35F55"/>
    <w:rsid w:val="00E374EB"/>
    <w:rsid w:val="00E37B21"/>
    <w:rsid w:val="00E40765"/>
    <w:rsid w:val="00E40A07"/>
    <w:rsid w:val="00E415C0"/>
    <w:rsid w:val="00E4357D"/>
    <w:rsid w:val="00E43DC7"/>
    <w:rsid w:val="00E45371"/>
    <w:rsid w:val="00E454B9"/>
    <w:rsid w:val="00E45874"/>
    <w:rsid w:val="00E458FB"/>
    <w:rsid w:val="00E47E03"/>
    <w:rsid w:val="00E5066F"/>
    <w:rsid w:val="00E5087F"/>
    <w:rsid w:val="00E50F03"/>
    <w:rsid w:val="00E5133F"/>
    <w:rsid w:val="00E5283D"/>
    <w:rsid w:val="00E5343A"/>
    <w:rsid w:val="00E53ECF"/>
    <w:rsid w:val="00E53F12"/>
    <w:rsid w:val="00E543D4"/>
    <w:rsid w:val="00E5547A"/>
    <w:rsid w:val="00E55559"/>
    <w:rsid w:val="00E564E8"/>
    <w:rsid w:val="00E56932"/>
    <w:rsid w:val="00E56C2F"/>
    <w:rsid w:val="00E56DB9"/>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3C18"/>
    <w:rsid w:val="00E8449F"/>
    <w:rsid w:val="00E84FC9"/>
    <w:rsid w:val="00E84FF0"/>
    <w:rsid w:val="00E8516C"/>
    <w:rsid w:val="00E8634B"/>
    <w:rsid w:val="00E879BD"/>
    <w:rsid w:val="00E90300"/>
    <w:rsid w:val="00E90A78"/>
    <w:rsid w:val="00E925BD"/>
    <w:rsid w:val="00E93AD5"/>
    <w:rsid w:val="00E94296"/>
    <w:rsid w:val="00E94996"/>
    <w:rsid w:val="00E94AB3"/>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903"/>
    <w:rsid w:val="00EC13DE"/>
    <w:rsid w:val="00EC1625"/>
    <w:rsid w:val="00EC2082"/>
    <w:rsid w:val="00EC3B6E"/>
    <w:rsid w:val="00EC4061"/>
    <w:rsid w:val="00EC4137"/>
    <w:rsid w:val="00EC453B"/>
    <w:rsid w:val="00EC498C"/>
    <w:rsid w:val="00EC58FC"/>
    <w:rsid w:val="00EC5CD6"/>
    <w:rsid w:val="00EC6065"/>
    <w:rsid w:val="00EC619B"/>
    <w:rsid w:val="00EC6637"/>
    <w:rsid w:val="00EC70E5"/>
    <w:rsid w:val="00ED0116"/>
    <w:rsid w:val="00ED06E0"/>
    <w:rsid w:val="00ED09BC"/>
    <w:rsid w:val="00ED0B25"/>
    <w:rsid w:val="00ED1F58"/>
    <w:rsid w:val="00ED4709"/>
    <w:rsid w:val="00ED5409"/>
    <w:rsid w:val="00ED79FC"/>
    <w:rsid w:val="00EE0AD6"/>
    <w:rsid w:val="00EE445E"/>
    <w:rsid w:val="00EE60E8"/>
    <w:rsid w:val="00EE61A2"/>
    <w:rsid w:val="00EF018C"/>
    <w:rsid w:val="00EF056A"/>
    <w:rsid w:val="00EF0FF3"/>
    <w:rsid w:val="00EF1543"/>
    <w:rsid w:val="00EF31E3"/>
    <w:rsid w:val="00EF44CC"/>
    <w:rsid w:val="00EF4B83"/>
    <w:rsid w:val="00EF50B5"/>
    <w:rsid w:val="00EF6175"/>
    <w:rsid w:val="00EF6ECC"/>
    <w:rsid w:val="00EF7531"/>
    <w:rsid w:val="00EF7E5E"/>
    <w:rsid w:val="00EF7EF6"/>
    <w:rsid w:val="00F00204"/>
    <w:rsid w:val="00F005B0"/>
    <w:rsid w:val="00F0196A"/>
    <w:rsid w:val="00F01F55"/>
    <w:rsid w:val="00F03100"/>
    <w:rsid w:val="00F054BB"/>
    <w:rsid w:val="00F054C6"/>
    <w:rsid w:val="00F055E8"/>
    <w:rsid w:val="00F07A8C"/>
    <w:rsid w:val="00F10C91"/>
    <w:rsid w:val="00F117E8"/>
    <w:rsid w:val="00F1187B"/>
    <w:rsid w:val="00F11DC8"/>
    <w:rsid w:val="00F1301B"/>
    <w:rsid w:val="00F132AA"/>
    <w:rsid w:val="00F13A5D"/>
    <w:rsid w:val="00F13DEB"/>
    <w:rsid w:val="00F13F2E"/>
    <w:rsid w:val="00F14739"/>
    <w:rsid w:val="00F149EC"/>
    <w:rsid w:val="00F15556"/>
    <w:rsid w:val="00F15BB6"/>
    <w:rsid w:val="00F16A4C"/>
    <w:rsid w:val="00F16BAF"/>
    <w:rsid w:val="00F171F5"/>
    <w:rsid w:val="00F20D6F"/>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529C"/>
    <w:rsid w:val="00F45972"/>
    <w:rsid w:val="00F45A20"/>
    <w:rsid w:val="00F45C9E"/>
    <w:rsid w:val="00F50BBD"/>
    <w:rsid w:val="00F50CE4"/>
    <w:rsid w:val="00F50D16"/>
    <w:rsid w:val="00F50E9C"/>
    <w:rsid w:val="00F5119A"/>
    <w:rsid w:val="00F52D7B"/>
    <w:rsid w:val="00F53566"/>
    <w:rsid w:val="00F53681"/>
    <w:rsid w:val="00F55C5F"/>
    <w:rsid w:val="00F604BD"/>
    <w:rsid w:val="00F60B3B"/>
    <w:rsid w:val="00F60CE3"/>
    <w:rsid w:val="00F61BE6"/>
    <w:rsid w:val="00F61C12"/>
    <w:rsid w:val="00F61E1F"/>
    <w:rsid w:val="00F62412"/>
    <w:rsid w:val="00F62D8C"/>
    <w:rsid w:val="00F6392F"/>
    <w:rsid w:val="00F64F32"/>
    <w:rsid w:val="00F653A3"/>
    <w:rsid w:val="00F65BB9"/>
    <w:rsid w:val="00F66BC4"/>
    <w:rsid w:val="00F67292"/>
    <w:rsid w:val="00F67E3D"/>
    <w:rsid w:val="00F70A9C"/>
    <w:rsid w:val="00F70D29"/>
    <w:rsid w:val="00F713F7"/>
    <w:rsid w:val="00F7155A"/>
    <w:rsid w:val="00F738D4"/>
    <w:rsid w:val="00F73BD9"/>
    <w:rsid w:val="00F75151"/>
    <w:rsid w:val="00F762F3"/>
    <w:rsid w:val="00F76D14"/>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387C"/>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186"/>
    <w:rsid w:val="00FA6339"/>
    <w:rsid w:val="00FA7501"/>
    <w:rsid w:val="00FA77D7"/>
    <w:rsid w:val="00FA7A70"/>
    <w:rsid w:val="00FB36C9"/>
    <w:rsid w:val="00FB427E"/>
    <w:rsid w:val="00FB4329"/>
    <w:rsid w:val="00FB452D"/>
    <w:rsid w:val="00FB5881"/>
    <w:rsid w:val="00FB6F7E"/>
    <w:rsid w:val="00FB7FC9"/>
    <w:rsid w:val="00FC187B"/>
    <w:rsid w:val="00FC341C"/>
    <w:rsid w:val="00FC37A9"/>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A5C"/>
    <w:rsid w:val="00FE0D1D"/>
    <w:rsid w:val="00FE1862"/>
    <w:rsid w:val="00FE18E8"/>
    <w:rsid w:val="00FE3841"/>
    <w:rsid w:val="00FE49EE"/>
    <w:rsid w:val="00FE600E"/>
    <w:rsid w:val="00FE6817"/>
    <w:rsid w:val="00FE68B1"/>
    <w:rsid w:val="00FE68F6"/>
    <w:rsid w:val="00FE69E0"/>
    <w:rsid w:val="00FE7A37"/>
    <w:rsid w:val="00FF027B"/>
    <w:rsid w:val="00FF1385"/>
    <w:rsid w:val="00FF1768"/>
    <w:rsid w:val="00FF1841"/>
    <w:rsid w:val="00FF385C"/>
    <w:rsid w:val="00FF3E41"/>
    <w:rsid w:val="00FF56C6"/>
    <w:rsid w:val="00FF5EDD"/>
    <w:rsid w:val="00FF6D97"/>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165F"/>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D416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4165F"/>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165F"/>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D416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4165F"/>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231889432">
      <w:bodyDiv w:val="1"/>
      <w:marLeft w:val="0"/>
      <w:marRight w:val="0"/>
      <w:marTop w:val="0"/>
      <w:marBottom w:val="0"/>
      <w:divBdr>
        <w:top w:val="none" w:sz="0" w:space="0" w:color="auto"/>
        <w:left w:val="none" w:sz="0" w:space="0" w:color="auto"/>
        <w:bottom w:val="none" w:sz="0" w:space="0" w:color="auto"/>
        <w:right w:val="none" w:sz="0" w:space="0" w:color="auto"/>
      </w:divBdr>
    </w:div>
    <w:div w:id="1374503421">
      <w:bodyDiv w:val="1"/>
      <w:marLeft w:val="0"/>
      <w:marRight w:val="0"/>
      <w:marTop w:val="0"/>
      <w:marBottom w:val="0"/>
      <w:divBdr>
        <w:top w:val="none" w:sz="0" w:space="0" w:color="auto"/>
        <w:left w:val="none" w:sz="0" w:space="0" w:color="auto"/>
        <w:bottom w:val="none" w:sz="0" w:space="0" w:color="auto"/>
        <w:right w:val="none" w:sz="0" w:space="0" w:color="auto"/>
      </w:divBdr>
      <w:divsChild>
        <w:div w:id="1109815554">
          <w:marLeft w:val="274"/>
          <w:marRight w:val="0"/>
          <w:marTop w:val="82"/>
          <w:marBottom w:val="0"/>
          <w:divBdr>
            <w:top w:val="none" w:sz="0" w:space="0" w:color="auto"/>
            <w:left w:val="none" w:sz="0" w:space="0" w:color="auto"/>
            <w:bottom w:val="none" w:sz="0" w:space="0" w:color="auto"/>
            <w:right w:val="none" w:sz="0" w:space="0" w:color="auto"/>
          </w:divBdr>
        </w:div>
        <w:div w:id="819542009">
          <w:marLeft w:val="835"/>
          <w:marRight w:val="0"/>
          <w:marTop w:val="77"/>
          <w:marBottom w:val="0"/>
          <w:divBdr>
            <w:top w:val="none" w:sz="0" w:space="0" w:color="auto"/>
            <w:left w:val="none" w:sz="0" w:space="0" w:color="auto"/>
            <w:bottom w:val="none" w:sz="0" w:space="0" w:color="auto"/>
            <w:right w:val="none" w:sz="0" w:space="0" w:color="auto"/>
          </w:divBdr>
        </w:div>
        <w:div w:id="858197913">
          <w:marLeft w:val="1411"/>
          <w:marRight w:val="0"/>
          <w:marTop w:val="77"/>
          <w:marBottom w:val="0"/>
          <w:divBdr>
            <w:top w:val="none" w:sz="0" w:space="0" w:color="auto"/>
            <w:left w:val="none" w:sz="0" w:space="0" w:color="auto"/>
            <w:bottom w:val="none" w:sz="0" w:space="0" w:color="auto"/>
            <w:right w:val="none" w:sz="0" w:space="0" w:color="auto"/>
          </w:divBdr>
        </w:div>
        <w:div w:id="1891840609">
          <w:marLeft w:val="1411"/>
          <w:marRight w:val="0"/>
          <w:marTop w:val="77"/>
          <w:marBottom w:val="0"/>
          <w:divBdr>
            <w:top w:val="none" w:sz="0" w:space="0" w:color="auto"/>
            <w:left w:val="none" w:sz="0" w:space="0" w:color="auto"/>
            <w:bottom w:val="none" w:sz="0" w:space="0" w:color="auto"/>
            <w:right w:val="none" w:sz="0" w:space="0" w:color="auto"/>
          </w:divBdr>
        </w:div>
        <w:div w:id="517232422">
          <w:marLeft w:val="835"/>
          <w:marRight w:val="0"/>
          <w:marTop w:val="77"/>
          <w:marBottom w:val="0"/>
          <w:divBdr>
            <w:top w:val="none" w:sz="0" w:space="0" w:color="auto"/>
            <w:left w:val="none" w:sz="0" w:space="0" w:color="auto"/>
            <w:bottom w:val="none" w:sz="0" w:space="0" w:color="auto"/>
            <w:right w:val="none" w:sz="0" w:space="0" w:color="auto"/>
          </w:divBdr>
        </w:div>
        <w:div w:id="1444686229">
          <w:marLeft w:val="835"/>
          <w:marRight w:val="0"/>
          <w:marTop w:val="77"/>
          <w:marBottom w:val="0"/>
          <w:divBdr>
            <w:top w:val="none" w:sz="0" w:space="0" w:color="auto"/>
            <w:left w:val="none" w:sz="0" w:space="0" w:color="auto"/>
            <w:bottom w:val="none" w:sz="0" w:space="0" w:color="auto"/>
            <w:right w:val="none" w:sz="0" w:space="0" w:color="auto"/>
          </w:divBdr>
        </w:div>
      </w:divsChild>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F5437-8C31-4A3B-B21C-213F686F5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1707</Words>
  <Characters>9734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11419</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5</cp:revision>
  <cp:lastPrinted>2013-02-08T15:42:00Z</cp:lastPrinted>
  <dcterms:created xsi:type="dcterms:W3CDTF">2015-01-28T02:01:00Z</dcterms:created>
  <dcterms:modified xsi:type="dcterms:W3CDTF">2015-01-28T02:20:00Z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